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09" w:rsidRDefault="00D07B09" w:rsidP="00EE0A4A">
      <w:pPr>
        <w:ind w:firstLine="709"/>
        <w:jc w:val="both"/>
      </w:pPr>
    </w:p>
    <w:p w:rsidR="00D07B09" w:rsidRDefault="00D07B09" w:rsidP="00E56F1D">
      <w:pPr>
        <w:jc w:val="center"/>
        <w:rPr>
          <w:b/>
          <w:bCs/>
        </w:rPr>
      </w:pPr>
      <w:r w:rsidRPr="00B20BC0">
        <w:rPr>
          <w:b/>
          <w:bCs/>
        </w:rPr>
        <w:t>2012 YILI</w:t>
      </w:r>
      <w:r>
        <w:rPr>
          <w:b/>
          <w:bCs/>
        </w:rPr>
        <w:t xml:space="preserve"> TÜRKİYE İLERLEME RAPORU GENİŞ ÖZETİ</w:t>
      </w:r>
    </w:p>
    <w:p w:rsidR="00D07B09" w:rsidRDefault="00D07B09" w:rsidP="00E56F1D">
      <w:pPr>
        <w:jc w:val="center"/>
      </w:pPr>
    </w:p>
    <w:p w:rsidR="00D07B09" w:rsidRPr="0071284B" w:rsidRDefault="00D07B09" w:rsidP="00EE0A4A"/>
    <w:p w:rsidR="00D07B09" w:rsidRPr="0071284B" w:rsidRDefault="00D07B09" w:rsidP="00EE0A4A">
      <w:pPr>
        <w:numPr>
          <w:ilvl w:val="0"/>
          <w:numId w:val="11"/>
        </w:numPr>
        <w:tabs>
          <w:tab w:val="left" w:pos="993"/>
        </w:tabs>
        <w:ind w:left="0" w:firstLine="709"/>
        <w:jc w:val="both"/>
      </w:pPr>
      <w:r w:rsidRPr="0071284B">
        <w:t xml:space="preserve">Taslak metnin Giriş kısmında ana hatları ile; </w:t>
      </w:r>
    </w:p>
    <w:p w:rsidR="00D07B09" w:rsidRPr="0071284B" w:rsidRDefault="00D07B09" w:rsidP="00EE0A4A"/>
    <w:p w:rsidR="00D07B09" w:rsidRPr="0071284B" w:rsidRDefault="00D07B09" w:rsidP="00EE0A4A">
      <w:pPr>
        <w:numPr>
          <w:ilvl w:val="0"/>
          <w:numId w:val="10"/>
        </w:numPr>
        <w:ind w:left="284" w:hanging="284"/>
        <w:jc w:val="both"/>
      </w:pPr>
      <w:r w:rsidRPr="0071284B">
        <w:t xml:space="preserve">Ortak çıkarlara hizmet eden bazı alanlarda (siyasi reformlar, müktesebata uyum, dış politika diyaloğu, vize, hareketlilik ve göç, </w:t>
      </w:r>
      <w:r w:rsidRPr="0071284B">
        <w:rPr>
          <w:b/>
          <w:bCs/>
        </w:rPr>
        <w:t>ticaret</w:t>
      </w:r>
      <w:r w:rsidRPr="0071284B">
        <w:t>, enerji, terörizm ile mücadele ve Topluluk programlarına katılım) işbirliğinin genişletilmesi yoluyla katılım müzakerelerini desteklemek ve tamamlamak üzere, Konsey tarafından Aralık 2011’de kabul edilen “</w:t>
      </w:r>
      <w:r w:rsidRPr="0071284B">
        <w:rPr>
          <w:b/>
          <w:bCs/>
        </w:rPr>
        <w:t>pozitif gündem</w:t>
      </w:r>
      <w:r w:rsidRPr="0071284B">
        <w:t>” sürecinin Mayıs ayında başlatıldığı, bu çerçevede müktesebat uyumunu desteklemek üzere oluşturulan sekiz çalışma grubundan altısının ilk toplantısını gerçekleştirdiği ve bu bağlamda, Komisyon’un Türkiye’nin “kriterleri (benchmarks)” karşılama durumunu değerlendirerek, ülkemizi ve üye ülkeleri bilgilendireceği,</w:t>
      </w:r>
    </w:p>
    <w:p w:rsidR="00D07B09" w:rsidRPr="0071284B" w:rsidRDefault="00D07B09" w:rsidP="00EE0A4A">
      <w:pPr>
        <w:ind w:left="284"/>
        <w:jc w:val="both"/>
      </w:pPr>
    </w:p>
    <w:p w:rsidR="00D07B09" w:rsidRPr="0071284B" w:rsidRDefault="00D07B09" w:rsidP="00EE0A4A">
      <w:pPr>
        <w:numPr>
          <w:ilvl w:val="0"/>
          <w:numId w:val="10"/>
        </w:numPr>
        <w:ind w:left="284" w:hanging="284"/>
        <w:jc w:val="both"/>
      </w:pPr>
      <w:r w:rsidRPr="0071284B">
        <w:t xml:space="preserve">Konsey’in, Komisyon’u, Türkiye ile </w:t>
      </w:r>
      <w:smartTag w:uri="urn:schemas-microsoft-com:office:smarttags" w:element="PersonName">
        <w:r w:rsidRPr="0071284B">
          <w:t>AB</w:t>
        </w:r>
      </w:smartTag>
      <w:r w:rsidRPr="0071284B">
        <w:t xml:space="preserve"> arasında Haziran ayında parafe edilen Geri Kabul Anlaşması(GKA)’nın imzalanmasına paralel şekilde, aşamalı ve uzun vadeli bir perspektifte vize liberalizasyonu yönünde gerekli adımları atmaya davet ettiği ve vize liberalizasyonu sürecinin etkin şekilde başlatılması için gerekli yol haritasının uygulamaya geçirilmesini teminen, Türkiye’nin GKA’nı imzalamasının önem arzettiği,</w:t>
      </w:r>
    </w:p>
    <w:p w:rsidR="00D07B09" w:rsidRPr="0071284B" w:rsidRDefault="00D07B09" w:rsidP="00EE0A4A">
      <w:pPr>
        <w:pStyle w:val="ListParagraph"/>
        <w:spacing w:after="0" w:line="240" w:lineRule="auto"/>
        <w:rPr>
          <w:rFonts w:ascii="Times New Roman" w:hAnsi="Times New Roman" w:cs="Times New Roman"/>
          <w:sz w:val="24"/>
          <w:szCs w:val="24"/>
          <w:lang w:val="tr-TR"/>
        </w:rPr>
      </w:pPr>
    </w:p>
    <w:p w:rsidR="00D07B09" w:rsidRPr="0071284B" w:rsidRDefault="00D07B09" w:rsidP="00EE0A4A">
      <w:pPr>
        <w:numPr>
          <w:ilvl w:val="0"/>
          <w:numId w:val="10"/>
        </w:numPr>
        <w:ind w:left="284" w:hanging="284"/>
        <w:jc w:val="both"/>
      </w:pPr>
      <w:r w:rsidRPr="0071284B">
        <w:t>Türkiye ve Komisyon’un önemli enerji konularında da işbirliğini geliştirmeyi kararlaştırdıkları,</w:t>
      </w:r>
    </w:p>
    <w:p w:rsidR="00D07B09" w:rsidRPr="0071284B" w:rsidRDefault="00D07B09" w:rsidP="00EE0A4A">
      <w:pPr>
        <w:pStyle w:val="ListParagraph"/>
        <w:spacing w:after="0" w:line="240" w:lineRule="auto"/>
        <w:rPr>
          <w:rFonts w:ascii="Times New Roman" w:hAnsi="Times New Roman" w:cs="Times New Roman"/>
          <w:sz w:val="24"/>
          <w:szCs w:val="24"/>
          <w:lang w:val="tr-TR"/>
        </w:rPr>
      </w:pPr>
    </w:p>
    <w:p w:rsidR="00D07B09" w:rsidRDefault="00D07B09" w:rsidP="00EE0A4A">
      <w:pPr>
        <w:numPr>
          <w:ilvl w:val="0"/>
          <w:numId w:val="10"/>
        </w:numPr>
        <w:ind w:left="284" w:hanging="284"/>
        <w:jc w:val="both"/>
      </w:pPr>
      <w:r w:rsidRPr="0071284B">
        <w:t xml:space="preserve">Türkiye ile güçlendirilmiş siyasi diyaloğun sürdürüldüğü, siyasi diyalog toplantılarının 2012 yılı Mart ve Haziran aylarında Bakanlar düzeyinde ve Şubat 2012’de siyasi direktörler seviyesinde toplandığı ve bu toplantılarda Türkiye’nin Kopenhag siyasi kriterlerini karşılamadaki zorluklarına yoğunlaşıldığı ve Katılım Ortaklığı önceliklerinin yerine getirilmesi yönünde kaydedilen mesafenin gözden geçirildiği, bu çerçevede, Kuzey Afrika, Ortadoğu, Batı Balkanlar, Afganistan/Pakistan ve Güney Kafkasya gibi </w:t>
      </w:r>
      <w:smartTag w:uri="urn:schemas-microsoft-com:office:smarttags" w:element="PersonName">
        <w:r w:rsidRPr="0071284B">
          <w:t>AB</w:t>
        </w:r>
      </w:smartTag>
      <w:r w:rsidRPr="0071284B">
        <w:t xml:space="preserve"> ve Türkiye’nin ortak ilgi noktası olan bölgelere yönelik dış politika konularının da düzenli olarak tartışıldığı, </w:t>
      </w:r>
    </w:p>
    <w:p w:rsidR="00D07B09" w:rsidRPr="0071284B" w:rsidRDefault="00D07B09" w:rsidP="00FD6A7A">
      <w:pPr>
        <w:jc w:val="both"/>
      </w:pPr>
    </w:p>
    <w:p w:rsidR="00D07B09" w:rsidRPr="0071284B" w:rsidRDefault="00D07B09" w:rsidP="00EE0A4A">
      <w:pPr>
        <w:numPr>
          <w:ilvl w:val="0"/>
          <w:numId w:val="10"/>
        </w:numPr>
        <w:ind w:left="284" w:hanging="284"/>
        <w:jc w:val="both"/>
      </w:pPr>
      <w:r w:rsidRPr="0071284B">
        <w:t>Türkiye’nin, komşularıyla ilişkilerinde gittikçe aktif hale geldiği ve bölgesinde lider ülke konumunda bulunduğu,</w:t>
      </w:r>
    </w:p>
    <w:p w:rsidR="00D07B09" w:rsidRPr="0071284B" w:rsidRDefault="00D07B09" w:rsidP="00EE0A4A">
      <w:pPr>
        <w:ind w:left="284"/>
        <w:jc w:val="both"/>
      </w:pPr>
    </w:p>
    <w:p w:rsidR="00D07B09" w:rsidRPr="0071284B" w:rsidRDefault="00D07B09" w:rsidP="00EE0A4A">
      <w:pPr>
        <w:numPr>
          <w:ilvl w:val="0"/>
          <w:numId w:val="10"/>
        </w:numPr>
        <w:ind w:left="284" w:hanging="284"/>
        <w:jc w:val="both"/>
        <w:rPr>
          <w:rStyle w:val="ft"/>
        </w:rPr>
      </w:pPr>
      <w:r w:rsidRPr="0071284B">
        <w:rPr>
          <w:rStyle w:val="ft"/>
          <w:color w:val="222222"/>
        </w:rPr>
        <w:t xml:space="preserve">Türkiye’nin, 2012 yılının ikinci yarısında, GKRY dönem başkanlığı ile ilişkileri dondurma ve  dönem başkanlığı tarafından organize edilen toplantılara katılmama kararına atıfla, </w:t>
      </w:r>
      <w:smartTag w:uri="urn:schemas-microsoft-com:office:smarttags" w:element="PersonName">
        <w:r w:rsidRPr="0071284B">
          <w:rPr>
            <w:rStyle w:val="ft"/>
            <w:color w:val="222222"/>
          </w:rPr>
          <w:t>AB</w:t>
        </w:r>
      </w:smartTag>
      <w:r w:rsidRPr="0071284B">
        <w:rPr>
          <w:rStyle w:val="ft"/>
          <w:color w:val="222222"/>
        </w:rPr>
        <w:t xml:space="preserve">'nin Antlaşma’dan kaynaklanan önemli bir müessesi olan dönem başkanlığına yönelik Türkiye'nin açıklamalarının </w:t>
      </w:r>
      <w:smartTag w:uri="urn:schemas-microsoft-com:office:smarttags" w:element="PersonName">
        <w:r w:rsidRPr="0071284B">
          <w:rPr>
            <w:rStyle w:val="ft"/>
            <w:color w:val="222222"/>
          </w:rPr>
          <w:t>AB</w:t>
        </w:r>
      </w:smartTag>
      <w:r w:rsidRPr="0071284B">
        <w:rPr>
          <w:rStyle w:val="ft"/>
          <w:color w:val="222222"/>
        </w:rPr>
        <w:t xml:space="preserve"> tarafından endişe verici olarak görüldüğü ve mezkûr kuruma yönelik gerekli saygının gösterilmesinin talep edildiği, </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rPr>
          <w:rStyle w:val="ft"/>
          <w:color w:val="222222"/>
        </w:rPr>
      </w:pPr>
      <w:smartTag w:uri="urn:schemas-microsoft-com:office:smarttags" w:element="PersonName">
        <w:r w:rsidRPr="0071284B">
          <w:rPr>
            <w:rStyle w:val="ft"/>
            <w:color w:val="222222"/>
          </w:rPr>
          <w:t>AB</w:t>
        </w:r>
      </w:smartTag>
      <w:r w:rsidRPr="0071284B">
        <w:rPr>
          <w:rStyle w:val="ft"/>
          <w:color w:val="222222"/>
        </w:rPr>
        <w:t xml:space="preserve">-Türkiye Gümrük Birliği’nin, 2011 yılında toplam 120 milyar Avro olarak gerçekleşen </w:t>
      </w:r>
      <w:smartTag w:uri="urn:schemas-microsoft-com:office:smarttags" w:element="PersonName">
        <w:r w:rsidRPr="0071284B">
          <w:rPr>
            <w:rStyle w:val="ft"/>
            <w:color w:val="222222"/>
          </w:rPr>
          <w:t>AB</w:t>
        </w:r>
      </w:smartTag>
      <w:r w:rsidRPr="0071284B">
        <w:rPr>
          <w:rStyle w:val="ft"/>
          <w:color w:val="222222"/>
        </w:rPr>
        <w:t xml:space="preserve">-Türkiye ikili ticaretinin geliştirilmesine katkıda bulunmaya devam ettiği, Türkiye </w:t>
      </w:r>
      <w:smartTag w:uri="urn:schemas-microsoft-com:office:smarttags" w:element="PersonName">
        <w:r w:rsidRPr="0071284B">
          <w:rPr>
            <w:rStyle w:val="ft"/>
            <w:color w:val="222222"/>
          </w:rPr>
          <w:t>AB</w:t>
        </w:r>
      </w:smartTag>
      <w:r w:rsidRPr="0071284B">
        <w:rPr>
          <w:rStyle w:val="ft"/>
          <w:color w:val="222222"/>
        </w:rPr>
        <w:t xml:space="preserve">’nin altıncı en büyük ticari ortağı iken, </w:t>
      </w:r>
      <w:smartTag w:uri="urn:schemas-microsoft-com:office:smarttags" w:element="PersonName">
        <w:r w:rsidRPr="0071284B">
          <w:rPr>
            <w:rStyle w:val="ft"/>
            <w:color w:val="222222"/>
          </w:rPr>
          <w:t>AB</w:t>
        </w:r>
      </w:smartTag>
      <w:r w:rsidRPr="0071284B">
        <w:rPr>
          <w:rStyle w:val="ft"/>
          <w:color w:val="222222"/>
        </w:rPr>
        <w:t xml:space="preserve">’nin Türkiye’nin en büyük ticari ortağı olduğu, Türkiye’nin toplam ticaretinin neredeyse yarısının </w:t>
      </w:r>
      <w:smartTag w:uri="urn:schemas-microsoft-com:office:smarttags" w:element="PersonName">
        <w:r w:rsidRPr="0071284B">
          <w:rPr>
            <w:rStyle w:val="ft"/>
            <w:color w:val="222222"/>
          </w:rPr>
          <w:t>AB</w:t>
        </w:r>
      </w:smartTag>
      <w:r w:rsidRPr="0071284B">
        <w:rPr>
          <w:rStyle w:val="ft"/>
          <w:color w:val="222222"/>
        </w:rPr>
        <w:t xml:space="preserve"> ile gerçekleştirdiği ve Türkiye’deki doğrudan yabancı yatırımların yaklaşık % 75’inin </w:t>
      </w:r>
      <w:smartTag w:uri="urn:schemas-microsoft-com:office:smarttags" w:element="PersonName">
        <w:r w:rsidRPr="0071284B">
          <w:rPr>
            <w:rStyle w:val="ft"/>
            <w:color w:val="222222"/>
          </w:rPr>
          <w:t>AB</w:t>
        </w:r>
      </w:smartTag>
      <w:r w:rsidRPr="0071284B">
        <w:rPr>
          <w:rStyle w:val="ft"/>
          <w:color w:val="222222"/>
        </w:rPr>
        <w:t xml:space="preserve"> kaynaklı olduğu, </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 xml:space="preserve">Bununla birlikte, Türkiye’nin Gümrük Birliği’ni tam olarak uygulamadığı ve Gümrük Birliği kapsamındaki taahhütlerini ihlal eden mevzuatı muhafaza ettiği, bunun sonucu olarak, birçok ticari konunun çözümsüz kaldığı, Türkiye’nin; ithal lisansları, </w:t>
      </w:r>
      <w:smartTag w:uri="urn:schemas-microsoft-com:office:smarttags" w:element="PersonName">
        <w:r w:rsidRPr="0071284B">
          <w:rPr>
            <w:rStyle w:val="ft"/>
            <w:color w:val="222222"/>
          </w:rPr>
          <w:t>AB</w:t>
        </w:r>
      </w:smartTag>
      <w:r w:rsidRPr="0071284B">
        <w:rPr>
          <w:rStyle w:val="ft"/>
          <w:color w:val="222222"/>
        </w:rPr>
        <w:t>’de serbest dolaşımda olan üçüncü ülke mallarının ithalatı üzerindeki kısıtlamalar, devlet yardımları, fikri mülkiyet haklarının etkili biçimde uygulanması, yeni ilaçların tescili için gereken koşullar ve vergi konusunda ayrımcı muamele gibi ticarete yönelik teknik engellerin kaldırılması ile ilgili olarak verdiği bir dizi taahhüdün yerine getirilmediği,</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Bu çerçevede, Avrupa Komisyonu’nun, Dünya Bankası’na, bugüne kadarki uygulamalar bağlamında, Gümrük Birliği’nin zayıf yönlerini, sınırlarını ve olası bir modernizasyonun getireceği imkanları ortaya koyacak bir değerlendirme çalışması yaptıracağı,</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rPr>
          <w:rStyle w:val="ft"/>
          <w:color w:val="222222"/>
        </w:rPr>
      </w:pPr>
      <w:smartTag w:uri="urn:schemas-microsoft-com:office:smarttags" w:element="PersonName">
        <w:r w:rsidRPr="0071284B">
          <w:rPr>
            <w:rStyle w:val="ft"/>
            <w:color w:val="222222"/>
          </w:rPr>
          <w:t>AB</w:t>
        </w:r>
      </w:smartTag>
      <w:r w:rsidRPr="0071284B">
        <w:rPr>
          <w:rStyle w:val="ft"/>
          <w:color w:val="222222"/>
        </w:rPr>
        <w:t>’nin, Türkiye’den, Güney Kıbrıs Rum Yönetimi’ne yönelik taşımacılık alanındaki kısıtlamalar da dahil, malların serbest dolaşımı ile ilgili süregelen tüm kısıtlamaları kaldırmasını ve Gümrük Birliği’ni tam olarak uygulamasını talep ettiği,</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pPr>
      <w:r w:rsidRPr="0071284B">
        <w:t>Mali yardım kapsamında, Türkiye’ye, 2012 yılında Katılım Öncesi Mali Yardım Aracı’ndan (IPA) yaklaşık olarak 856 milyon avro kaynak tahsis edildiği, 2011-2013 Çok Yıllı Endikatif Planlama Belgesi (MIPD) bağlamında siyasi önceliklere yönelik desteklerin yoğunlaştırıldığı, ayrıca, Türkiye’nin IPA kapsamında bazı bölgesel ve yatay programlardan da yararlandığı,</w:t>
      </w:r>
    </w:p>
    <w:p w:rsidR="00D07B09" w:rsidRPr="0071284B" w:rsidRDefault="00D07B09" w:rsidP="00EE0A4A">
      <w:pPr>
        <w:ind w:left="284"/>
        <w:jc w:val="both"/>
      </w:pPr>
    </w:p>
    <w:p w:rsidR="00D07B09" w:rsidRPr="0071284B" w:rsidRDefault="00D07B09" w:rsidP="00EE0A4A">
      <w:pPr>
        <w:numPr>
          <w:ilvl w:val="0"/>
          <w:numId w:val="10"/>
        </w:numPr>
        <w:ind w:left="284" w:hanging="284"/>
        <w:jc w:val="both"/>
      </w:pPr>
      <w:r w:rsidRPr="0071284B">
        <w:t xml:space="preserve">Türkiye’nin, 7. Araştırma Çerçeve Programı, Gümrük 2013, Fiscalis 2013, Avrupa Çevre Ajansı, Rekabetçilik ve Yenilikçilik Çerçeve Programı, Kültür 2007, Hayatboyu Öğrenme ve Gençlik gibi </w:t>
      </w:r>
      <w:smartTag w:uri="urn:schemas-microsoft-com:office:smarttags" w:element="PersonName">
        <w:r w:rsidRPr="0071284B">
          <w:t>AB</w:t>
        </w:r>
      </w:smartTag>
      <w:r w:rsidRPr="0071284B">
        <w:t xml:space="preserve"> Programlarına ve Ajanslarına aktif olarak iştirak ettiği ve anılan Programların çoğunun katılım maliyetlerinin kısmen IPA fonlarından karşılandığı, ayrıca, Türkiye’nin, Avrupa Uyuşturucu ve Uyuşturucu Bağımlılığı İzleme Merkezi’ne katılımına dair anlaşmayı onaylamasının beklendiği,</w:t>
      </w:r>
    </w:p>
    <w:p w:rsidR="00D07B09" w:rsidRPr="0071284B" w:rsidRDefault="00D07B09" w:rsidP="00EE0A4A">
      <w:pPr>
        <w:jc w:val="both"/>
      </w:pPr>
    </w:p>
    <w:p w:rsidR="00D07B09" w:rsidRPr="0071284B" w:rsidRDefault="00D07B09" w:rsidP="00EE0A4A">
      <w:r w:rsidRPr="0071284B">
        <w:t>vurgulanmaktadır.</w:t>
      </w:r>
    </w:p>
    <w:p w:rsidR="00D07B09" w:rsidRPr="0071284B" w:rsidRDefault="00D07B09" w:rsidP="00EE0A4A">
      <w:pPr>
        <w:jc w:val="both"/>
      </w:pPr>
    </w:p>
    <w:p w:rsidR="00D07B09" w:rsidRPr="0071284B" w:rsidRDefault="00D07B09" w:rsidP="00EE0A4A">
      <w:pPr>
        <w:numPr>
          <w:ilvl w:val="0"/>
          <w:numId w:val="11"/>
        </w:numPr>
        <w:tabs>
          <w:tab w:val="left" w:pos="993"/>
        </w:tabs>
        <w:ind w:left="0" w:firstLine="709"/>
        <w:jc w:val="both"/>
        <w:rPr>
          <w:rStyle w:val="ft"/>
          <w:color w:val="222222"/>
        </w:rPr>
      </w:pPr>
      <w:r w:rsidRPr="0071284B">
        <w:t>Rapor’un “Siyasi Kriterler” başlığı altında;</w:t>
      </w:r>
    </w:p>
    <w:p w:rsidR="00D07B09" w:rsidRPr="0071284B" w:rsidRDefault="00D07B09" w:rsidP="00EE0A4A">
      <w:pPr>
        <w:ind w:left="284"/>
        <w:jc w:val="both"/>
        <w:rPr>
          <w:color w:val="FF0000"/>
        </w:rPr>
      </w:pPr>
    </w:p>
    <w:p w:rsidR="00D07B09" w:rsidRPr="0071284B" w:rsidRDefault="00D07B09" w:rsidP="00EE0A4A">
      <w:pPr>
        <w:numPr>
          <w:ilvl w:val="0"/>
          <w:numId w:val="10"/>
        </w:numPr>
        <w:ind w:left="284" w:hanging="284"/>
        <w:jc w:val="both"/>
      </w:pPr>
      <w:r w:rsidRPr="0071284B">
        <w:t>Yeni Anayasa çalışmalarının demokratik ve katılımcı bir süreç içerisinde başlatıldığı, siyasi hayatın geri kalan kısmına ise sınırlı diyalog ve sık gerginlikler yaşandığı,</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 xml:space="preserve">Özellikle terörizm ve organize suç ile mücadeleye yönelik yasal çerçevenin geniş kapsamlı uygulanması neticesinde meydana gelen temel özgürlük ve güvenlik, adil yargılanma hakkı ve ifade özgürlüğü ihlallerinin endişe verici olduğu, basın özgürlüğü kısıtlamaları ve yazarlar ile gazetecilere yönelik mahkeme kararlarının sorun oluşturduğu ve bunların otosansürü yangınlaştırdığı,  </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 xml:space="preserve">Demokrasi ve hukukun üstünlüğü alanında, yeni Anayasa çalışmalarına katılım bağlamında olumlu adımlar atılmakla birlikte, genel olarak yasama sürecinde danışma eksikliği bulunduğu, </w:t>
      </w:r>
    </w:p>
    <w:p w:rsidR="00D07B09" w:rsidRPr="0071284B" w:rsidRDefault="00D07B09" w:rsidP="00EE0A4A">
      <w:pPr>
        <w:jc w:val="both"/>
        <w:rPr>
          <w:b/>
          <w:bCs/>
        </w:rPr>
      </w:pPr>
    </w:p>
    <w:p w:rsidR="00D07B09" w:rsidRPr="0071284B" w:rsidRDefault="00D07B09" w:rsidP="00EE0A4A">
      <w:pPr>
        <w:numPr>
          <w:ilvl w:val="0"/>
          <w:numId w:val="10"/>
        </w:numPr>
        <w:ind w:left="284" w:hanging="284"/>
        <w:jc w:val="both"/>
      </w:pPr>
      <w:r w:rsidRPr="0071284B">
        <w:t>Kamu yönetimi reformu alanında gelişme görüldüğü, “kamu denetçiliği (ombudsman)” kurumunun oluşturulmasının önemli bir adım olarak değerlendirildiği ve reform için siyasi desteğin artmasının gerektiği,</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Güvenlik güçleri üzerindeki sivil denetimin daha da geliştiği, savunma bütçesi üzerindeki parlamento denetiminin olumlu bir gelişme olduğu, ancak sınırlı kaldığı ayrıca, jandarma güçlerinin sivil denetimi ve askeri yargı sistemi konularında reforma ihtiyaç duyulduğu,</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 xml:space="preserve">Üçüncü Yargı Paketi’nin kabulü ile yargı alanında bazı gelişmeler yaşanmakla birlikte, reformların Avrupa İnsan Hakları Mahkemesi’nin Türkiye’ye ilişkin suçlamalarına esas teşkil eden temel hususları ele almadığı, yargılama öncesi uzun tutukluluk süresinin eleştirildiği, yargı bağımsızlığı ve etkinliği için atılması gereken adımlar olduğu, </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 xml:space="preserve">Daha da arttırılması istenmekle birlikte, siyasi partilerin finansmanındaki şeffaflığın olumlu bir gelişme olarak nitelendirildiği, ancak yolsuzlukla mücadelede atılan adımların sınırlı olduğu, ayrıca, organize suçla mücadeledeki gelişmelerin, verilerin korunması yasası eksikliğinin uluslararası işbirliğini engellemesi nedeniyle sınırlı kaldığı,  </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İnsan hakları ve azınlıkların korunması alanında ifade, toplanma ve dernekleşme ve din özgürlüğü bağlamında ciddi çaba gösterilmesi gerektiği, işkence ve gözaltı sürecindeki ihlallerde olumlu gelişmenin sürdüğü, ancak şikayet konusu alanlar bulunduğu, ayrıca, adil yargılanma hakkına erişim konusunda da sınırlı gelişme olduğu,</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 xml:space="preserve">İfade ve basın özgürlüğüne yönelik kısıtlamaların eleştirildiği, toplanma ve dernek kurma özgürlükleri bağlamında, çeşitli toplu gösterilerin barış ortamında cereyan etmesine rağmen, bazı durumlarda bu özgürlüklerin kısıtlayıcı bir yoruma tabi tutulduğu ve bu alanda yasalarda reform gerektiği,    </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Düşünce</w:t>
      </w:r>
      <w:r w:rsidRPr="0071284B">
        <w:rPr>
          <w:b/>
          <w:bCs/>
        </w:rPr>
        <w:t xml:space="preserve">, </w:t>
      </w:r>
      <w:r w:rsidRPr="0071284B">
        <w:t xml:space="preserve">vicdan ve din hürriyetleri alanındaki gelişmelerin de sınırlı olduğu, </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Kadın</w:t>
      </w:r>
      <w:r w:rsidRPr="0071284B">
        <w:rPr>
          <w:b/>
          <w:bCs/>
        </w:rPr>
        <w:t xml:space="preserve"> </w:t>
      </w:r>
      <w:r w:rsidRPr="0071284B">
        <w:t>hakları ve cinsiyet ayrımcılığının giderilmesi konusunda yasal olarak gelişme kaydedildiği, bir eylem planı oluşturulduğu, kadınlara yönelik şiddetin ortadan kaldırılmasını amaçlayan yasanın yürürlükte olduğu, acil durumlardaki uygulamanın genel olarak olumlu olduğu, ancak yasanın ve uygulamanın geliştirilmesi için ciddi çaba gerektiği,</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Çocuk hakları alanında çaba gösterilmesi ve çocukların yargılanması açısından da yasa kurallarının uygulanmasının gerektiği,</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Sosyal korumaya muhtaç ve engelli kişilerin sosyal ve ekonomik hayata katılımını arttıracak önlemlerin geliştirilmesi gerektiği ve her türlü ayrımcılıkla mücadele için çaba gösterilmesinin talep edildiği,</w:t>
      </w:r>
    </w:p>
    <w:p w:rsidR="00D07B09" w:rsidRPr="0071284B" w:rsidRDefault="00D07B09" w:rsidP="00EE0A4A">
      <w:pPr>
        <w:jc w:val="both"/>
      </w:pPr>
    </w:p>
    <w:p w:rsidR="00D07B09" w:rsidRPr="0071284B" w:rsidRDefault="00D07B09" w:rsidP="00EE0A4A">
      <w:pPr>
        <w:numPr>
          <w:ilvl w:val="0"/>
          <w:numId w:val="10"/>
        </w:numPr>
        <w:ind w:left="284" w:hanging="284"/>
        <w:jc w:val="both"/>
      </w:pPr>
      <w:r w:rsidRPr="0071284B">
        <w:t>Sendikal</w:t>
      </w:r>
      <w:r w:rsidRPr="0071284B">
        <w:rPr>
          <w:b/>
          <w:bCs/>
        </w:rPr>
        <w:t xml:space="preserve"> </w:t>
      </w:r>
      <w:r w:rsidRPr="0071284B">
        <w:t xml:space="preserve">haklar açısından da gelişmelerin sınırlı olduğu, kamu personelinin sendikal haklarını düzenleyen yasanın değiştirilmesine rağmen AB standartlarına uygun olmadığı, </w:t>
      </w:r>
    </w:p>
    <w:p w:rsidR="00D07B09" w:rsidRPr="0071284B" w:rsidRDefault="00D07B09" w:rsidP="00EE0A4A">
      <w:pPr>
        <w:jc w:val="both"/>
      </w:pPr>
    </w:p>
    <w:p w:rsidR="00D07B09" w:rsidRPr="0071284B" w:rsidRDefault="00D07B09" w:rsidP="00EE0A4A">
      <w:pPr>
        <w:numPr>
          <w:ilvl w:val="0"/>
          <w:numId w:val="10"/>
        </w:numPr>
        <w:ind w:left="284" w:hanging="284"/>
        <w:jc w:val="both"/>
        <w:rPr>
          <w:rStyle w:val="ft"/>
          <w:color w:val="222222"/>
        </w:rPr>
      </w:pPr>
      <w:r w:rsidRPr="0071284B">
        <w:rPr>
          <w:rStyle w:val="ft"/>
          <w:color w:val="222222"/>
        </w:rPr>
        <w:t>Mülkiyet hakları ile ilgili olarak, 2008 yılında vakıflara ilişkin Kanun değişikliğinin kabul edilmesi ile bu alanda bir ilerleme kaydedildiği ve Müslüman olmayan dini topluluklar ile diğer tüm toplulukların mülkiyet haklarının Türkiye tarafından tam bir şekilde gözetilmesi gerektiği,</w:t>
      </w:r>
    </w:p>
    <w:p w:rsidR="00D07B09" w:rsidRPr="0071284B" w:rsidRDefault="00D07B09" w:rsidP="00EE0A4A">
      <w:pPr>
        <w:jc w:val="both"/>
        <w:rPr>
          <w:rStyle w:val="ft"/>
          <w:b/>
          <w:bCs/>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Türkiye'nin azınlıklara olan yaklaşımı</w:t>
      </w:r>
      <w:r w:rsidRPr="0071284B">
        <w:rPr>
          <w:rStyle w:val="ft"/>
          <w:b/>
          <w:bCs/>
          <w:color w:val="222222"/>
        </w:rPr>
        <w:t>,</w:t>
      </w:r>
      <w:r w:rsidRPr="0071284B">
        <w:rPr>
          <w:rStyle w:val="ft"/>
          <w:color w:val="222222"/>
        </w:rPr>
        <w:t xml:space="preserve"> resmi olarak tanınan ve tanınmayan azınlık temsilcilerinin ilk kez yeni anayasaya ilişkin görüşlerini beyan etmek üzere meclise davet edilmelerine rağmen, kısıtlayıcı olmaya devam ettiği ve dil, kültür ve temel hakların Avrupa standartlarında korunması ve saygı görmesi noktasına henüz ulaşılamadığı, bu çerçevede mevcut yasal düzenlemelerin gözden geçirilmesi gerektiği, ayrımcılığa karşı daha kapsamlı mevzuat çalışmaları yürütülmesi ile, ırkçılık, yabancı ve Yahudi düşmanlığı ile hoşgörüsüzlüğe karşı gerekli mekanizmaların tesis edilmesi gerektiği, </w:t>
      </w:r>
    </w:p>
    <w:p w:rsidR="00D07B09" w:rsidRPr="0071284B" w:rsidRDefault="00D07B09" w:rsidP="00EE0A4A">
      <w:pPr>
        <w:jc w:val="both"/>
        <w:rPr>
          <w:rStyle w:val="ft"/>
          <w:b/>
          <w:bCs/>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Kültürel</w:t>
      </w:r>
      <w:r w:rsidRPr="0071284B">
        <w:rPr>
          <w:rStyle w:val="ft"/>
          <w:b/>
          <w:bCs/>
          <w:color w:val="222222"/>
        </w:rPr>
        <w:t xml:space="preserve"> </w:t>
      </w:r>
      <w:r w:rsidRPr="0071284B">
        <w:rPr>
          <w:rStyle w:val="ft"/>
          <w:color w:val="222222"/>
        </w:rPr>
        <w:t>haklar alanında gelişme kaydedildiği, ancak Kürtçe</w:t>
      </w:r>
      <w:r>
        <w:rPr>
          <w:rStyle w:val="ft"/>
          <w:color w:val="222222"/>
        </w:rPr>
        <w:t>’</w:t>
      </w:r>
      <w:r w:rsidRPr="0071284B">
        <w:rPr>
          <w:rStyle w:val="ft"/>
          <w:color w:val="222222"/>
        </w:rPr>
        <w:t xml:space="preserve">nin hapishanelerde ziyaret esnasında ve mektuplaşmada kullanımı üzerinde sınırlı kısıtlamaların sürdüğü, Anayasa ve Siyasi Partiler Kanunu da dahil olmak üzere yasaların, Türkçe dışında bir dil kullanımını sınırlamaya devam ettiği, </w:t>
      </w:r>
    </w:p>
    <w:p w:rsidR="00D07B09" w:rsidRPr="0071284B" w:rsidRDefault="00D07B09" w:rsidP="00EE0A4A">
      <w:pPr>
        <w:jc w:val="both"/>
        <w:rPr>
          <w:rStyle w:val="ft"/>
          <w:b/>
          <w:bCs/>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Roman</w:t>
      </w:r>
      <w:r w:rsidRPr="0071284B">
        <w:rPr>
          <w:rStyle w:val="ft"/>
          <w:b/>
          <w:bCs/>
          <w:color w:val="222222"/>
        </w:rPr>
        <w:t xml:space="preserve"> </w:t>
      </w:r>
      <w:r w:rsidRPr="0071284B">
        <w:rPr>
          <w:rStyle w:val="ft"/>
          <w:color w:val="222222"/>
        </w:rPr>
        <w:t>kökenli vatandaşlar hakkında sınırlı birtakım ilerlemeler bulunmakla birlikte, mevcut problemlerin çözümü için sistematik bir yaklaşım gerektiği,</w:t>
      </w:r>
    </w:p>
    <w:p w:rsidR="00D07B09" w:rsidRPr="0071284B" w:rsidRDefault="00D07B09" w:rsidP="00EE0A4A">
      <w:pPr>
        <w:jc w:val="both"/>
        <w:rPr>
          <w:rStyle w:val="ft"/>
          <w:b/>
          <w:bCs/>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Doğu ve Güneyd</w:t>
      </w:r>
      <w:r>
        <w:rPr>
          <w:rStyle w:val="ft"/>
          <w:color w:val="222222"/>
        </w:rPr>
        <w:t>oğu bölgesi ile ilgili olarak, K</w:t>
      </w:r>
      <w:r w:rsidRPr="0071284B">
        <w:rPr>
          <w:rStyle w:val="ft"/>
          <w:color w:val="222222"/>
        </w:rPr>
        <w:t xml:space="preserve">ürt meselesinde ciddi tartışmalar devam etmekle birlikte, çözüme ilişkin herhangi bir ilerleme kaydedilmediği, terörist saldırılarda, askeri operasyonlardakine benzer bir şekilde artış görüldüğü, Uludere'de yaşanan hadisede sivillerin ölmesi üzerine başlatılan soruşturmanın hızlı ve şeffaf bir şekilde gerçekleştirilmesi yönündeki çağrıların henüz yanıt bulmadığı, ayrıca, mayınlar ve köy koruculuk sisteminin endişe veren konular arasında yer almaya devam ettiği, </w:t>
      </w:r>
    </w:p>
    <w:p w:rsidR="00D07B09" w:rsidRPr="0071284B" w:rsidRDefault="00D07B09" w:rsidP="00EE0A4A">
      <w:pPr>
        <w:jc w:val="both"/>
        <w:rPr>
          <w:rStyle w:val="ft"/>
          <w:b/>
          <w:bCs/>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Sığınmacılar ve mültecilere ilişkin</w:t>
      </w:r>
      <w:r w:rsidRPr="0071284B">
        <w:rPr>
          <w:rStyle w:val="ft"/>
          <w:b/>
          <w:bCs/>
          <w:color w:val="222222"/>
        </w:rPr>
        <w:t xml:space="preserve"> </w:t>
      </w:r>
      <w:r w:rsidRPr="0071284B">
        <w:rPr>
          <w:rStyle w:val="ft"/>
          <w:color w:val="222222"/>
        </w:rPr>
        <w:t xml:space="preserve">olarak, gözaltında bulunma koşullarında birtakım iyileşmeler gözlemlenmekle birlikte bu kişilere ilişkin kapsamlı yasal bir çerçeve bulunmadığı, </w:t>
      </w:r>
    </w:p>
    <w:p w:rsidR="00D07B09" w:rsidRPr="0071284B" w:rsidRDefault="00D07B09" w:rsidP="00EE0A4A">
      <w:pPr>
        <w:jc w:val="both"/>
        <w:rPr>
          <w:rStyle w:val="ft"/>
          <w:b/>
          <w:bCs/>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Bölgesel</w:t>
      </w:r>
      <w:r w:rsidRPr="0071284B">
        <w:rPr>
          <w:rStyle w:val="ft"/>
          <w:b/>
          <w:bCs/>
          <w:color w:val="222222"/>
        </w:rPr>
        <w:t xml:space="preserve"> </w:t>
      </w:r>
      <w:r w:rsidRPr="0071284B">
        <w:rPr>
          <w:rStyle w:val="ft"/>
          <w:color w:val="222222"/>
        </w:rPr>
        <w:t>konular ve uluslararası yükümlülüklere</w:t>
      </w:r>
      <w:r w:rsidRPr="0071284B">
        <w:rPr>
          <w:rStyle w:val="ft"/>
          <w:b/>
          <w:bCs/>
          <w:color w:val="222222"/>
        </w:rPr>
        <w:t xml:space="preserve"> </w:t>
      </w:r>
      <w:r w:rsidRPr="0071284B">
        <w:rPr>
          <w:rStyle w:val="ft"/>
          <w:color w:val="222222"/>
        </w:rPr>
        <w:t xml:space="preserve">ilişkin olarak, Türkiye’nin Birleşmiş Milletler Genel Sekreterliği himayesindeki Kıbrıs sorununun çözümüne yönelik müzakerelere desteğini sürdürdüğü, ancak, Konsey ve Komisyon tarafından yapılan çağrılara rağmen, Türkiye’nin, </w:t>
      </w:r>
      <w:r>
        <w:rPr>
          <w:rStyle w:val="ft"/>
          <w:color w:val="222222"/>
        </w:rPr>
        <w:t>Ek</w:t>
      </w:r>
      <w:r w:rsidRPr="0071284B">
        <w:rPr>
          <w:rStyle w:val="ft"/>
          <w:color w:val="222222"/>
        </w:rPr>
        <w:t xml:space="preserve"> Protokol'ün ayrımcı olmayan bir şekilde uygulanması yükümlülüğünün gereğini yerine getirmediği ve malların serbest dolaşımı önündeki engellerin Eylül 2005, Aralık 2006 ve Aralık 2010 tarihlerinde Konsey tarafından yapılan çağrılara rağmen devam ettiği,</w:t>
      </w:r>
    </w:p>
    <w:p w:rsidR="00D07B09" w:rsidRPr="003B3020" w:rsidRDefault="00D07B09" w:rsidP="00EE0A4A">
      <w:pPr>
        <w:jc w:val="both"/>
        <w:rPr>
          <w:rStyle w:val="ft"/>
          <w:color w:val="222222"/>
          <w:sz w:val="20"/>
          <w:szCs w:val="20"/>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 xml:space="preserve">AB'nin Antlaşma’dan kaynaklanan önemli bir müessesi olan dönem başkanlığına yönelik Türkiye'nin açıklamalarının AB tarafından endişe verici olarak görüldüğü ve mezkur kuruma yönelik gerekli saygının gösterilmesinin beklendiği, diğer taraftan, Türkiye’nin, GKRY tarafından yürütülmekte olan petrol arama faaliyetlerine ilişkin açıklamalarına devam ettiği ve yürütülen bu faaliyetlerde yer alan petrol şirketlerine misilleme tehdidinde bulunduğu ve Yunanistan ile GKRY’nin, karasularının ve hava sahalarının sayısız kez ihlal edildiği yönünde şikâyette bulundukları, </w:t>
      </w:r>
    </w:p>
    <w:p w:rsidR="00D07B09" w:rsidRPr="003B3020" w:rsidRDefault="00D07B09" w:rsidP="00EE0A4A">
      <w:pPr>
        <w:jc w:val="both"/>
        <w:rPr>
          <w:rStyle w:val="ft"/>
          <w:b/>
          <w:bCs/>
          <w:color w:val="222222"/>
          <w:sz w:val="20"/>
          <w:szCs w:val="20"/>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Türkiye’nin Güneydoğu Avrupa İşbirliği Süreci (SEECP) ve Bölgesel İşbirliği Konseyi (RCC) çerçevesinde başlatılan inisiyatiflere katılım sağlamaya devam ettiği,</w:t>
      </w:r>
    </w:p>
    <w:p w:rsidR="00D07B09" w:rsidRPr="0071284B" w:rsidRDefault="00D07B09" w:rsidP="00EE0A4A">
      <w:pPr>
        <w:jc w:val="both"/>
        <w:rPr>
          <w:color w:val="FF0000"/>
        </w:rPr>
      </w:pPr>
    </w:p>
    <w:p w:rsidR="00D07B09" w:rsidRPr="0071284B" w:rsidRDefault="00D07B09" w:rsidP="00EE0A4A">
      <w:pPr>
        <w:jc w:val="both"/>
      </w:pPr>
      <w:r w:rsidRPr="0071284B">
        <w:t>belirtilmektedir.</w:t>
      </w:r>
    </w:p>
    <w:p w:rsidR="00D07B09" w:rsidRPr="0071284B" w:rsidRDefault="00D07B09" w:rsidP="00EE0A4A"/>
    <w:p w:rsidR="00D07B09" w:rsidRPr="0071284B" w:rsidRDefault="00D07B09" w:rsidP="00EE0A4A">
      <w:pPr>
        <w:numPr>
          <w:ilvl w:val="0"/>
          <w:numId w:val="11"/>
        </w:numPr>
        <w:tabs>
          <w:tab w:val="left" w:pos="993"/>
        </w:tabs>
        <w:ind w:left="0" w:firstLine="709"/>
        <w:jc w:val="both"/>
      </w:pPr>
      <w:r w:rsidRPr="0071284B">
        <w:t>Rapor’un “Ekonomik Kriterler” başlığı altında ise, işleyen bir piyasa ekonomisinin varlığı kapsamında:</w:t>
      </w:r>
    </w:p>
    <w:p w:rsidR="00D07B09" w:rsidRPr="0071284B" w:rsidRDefault="00D07B09" w:rsidP="00EE0A4A">
      <w:pPr>
        <w:jc w:val="both"/>
      </w:pPr>
    </w:p>
    <w:p w:rsidR="00D07B09" w:rsidRPr="0071284B" w:rsidRDefault="00D07B09" w:rsidP="00EE0A4A">
      <w:pPr>
        <w:numPr>
          <w:ilvl w:val="0"/>
          <w:numId w:val="10"/>
        </w:numPr>
        <w:ind w:left="284" w:hanging="284"/>
        <w:jc w:val="both"/>
        <w:rPr>
          <w:rStyle w:val="ft"/>
          <w:color w:val="222222"/>
        </w:rPr>
      </w:pPr>
      <w:r w:rsidRPr="0071284B">
        <w:rPr>
          <w:rStyle w:val="ft"/>
          <w:color w:val="222222"/>
        </w:rPr>
        <w:t>Ekonomik politikaların temel unsurları bağlamında; Ocak 2012’de Komisyona iletilen Katılım Öncesi Ekonomik Program (KEP) dengelerin yeniden tesisi sürecine dair taahhütleri yansıttığı, bahse</w:t>
      </w:r>
      <w:r>
        <w:rPr>
          <w:rStyle w:val="ft"/>
          <w:color w:val="222222"/>
        </w:rPr>
        <w:t xml:space="preserve"> </w:t>
      </w:r>
      <w:r w:rsidRPr="0071284B">
        <w:rPr>
          <w:rStyle w:val="ft"/>
          <w:color w:val="222222"/>
        </w:rPr>
        <w:t>konu sürecin ekonomik istikrar açısından olumlu olsa da, Türkiye’nin ciddi dış dengesizlikler ile karşı karşıya olduğu ve olası global mali krizlere ve özellikle sermaye akımlarındaki geri dönüşlere karşı savunma</w:t>
      </w:r>
      <w:r>
        <w:rPr>
          <w:rStyle w:val="ft"/>
          <w:color w:val="222222"/>
        </w:rPr>
        <w:t>sı</w:t>
      </w:r>
      <w:r w:rsidRPr="0071284B">
        <w:rPr>
          <w:rStyle w:val="ft"/>
          <w:color w:val="222222"/>
        </w:rPr>
        <w:t>z olduğu, yeni oluşturulan bakanlıklar ve idari yapılar sonrası kamu kurumları arasında sorumlulukların dağılımı ile bütçeleme ve orta vadeli ekonomi politikaları alanında koordinasyonun gittikçe karmaşık hal aldığı, kararların zaman zaman ad-hoc düzeyde alınmakta olduğu, etki analizlerinin yapılmadığı veya kısmi bilgilere dayandığı, bununla birlikte, son zamanlarda ekonomi politikası alanında ciddi anlaşmazlık veya gerilimin bulunmadığı, sonuç olarak, ekonomi politikasının temel unsurlarına dair mutabakatın korunduğu,</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2011 yılında Türkiye ekonomisinin %8.5 oranında büyüdüğü ve bu oranın 2010 yılındaki %9.2’lik oranın altında gerçekleştiği, özel tüketim harcamalarında yıllık bazda %7.7’lik artış ve özel yatırım harcamalarında %22.8’lik yükseliş ile, özel sektörün büyümenin temel tetikleyicisi olduğu, iç talepteki kuvvetli artışın yıllık bazda ithalat miktarında %10.6’lık artışı beraberinde getirdiği, buna karşın, kısmen Türk lirasının değer kaybının sonucu olarak ihracatın 2010’a kıyasla %6.5 oranında arttığı, diğer taraftan, 2011 yılı ortasından bu</w:t>
      </w:r>
      <w:r>
        <w:rPr>
          <w:rStyle w:val="ft"/>
          <w:color w:val="222222"/>
        </w:rPr>
        <w:t xml:space="preserve"> </w:t>
      </w:r>
      <w:r w:rsidRPr="0071284B">
        <w:rPr>
          <w:rStyle w:val="ft"/>
          <w:color w:val="222222"/>
        </w:rPr>
        <w:t xml:space="preserve">yana, iç talepteki daralmaya paralel şekilde büyüme hızı aşamalı olarak yavaşlarken, ticaret ve cari işlemler dengesinde iyileşme gözlendiği, </w:t>
      </w:r>
    </w:p>
    <w:p w:rsidR="00D07B09" w:rsidRPr="0071284B" w:rsidRDefault="00D07B09" w:rsidP="00EE0A4A">
      <w:pPr>
        <w:ind w:left="284"/>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2012 yılının ilk yarısında, yıldan yıla büyüme oranında önemli bir gerileme görüldüğü ve büyüme rakamının %3,1 olarak gerçekleştiği, imalat sanayi güven endeksi ve kapasite kullanım oranının iki yılın en düşük seviyesine indiği, 2011 yılında, Türkiye’nin kişi başına GSYİH’sının (satın alma gücü paritesine göre) AB ortalamasının %52’si düzeyinde olduğu, özetle, zayıf iç talebe bağlı olarak ekonomik büyümenin yavaşladığı,</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 xml:space="preserve">Cari işlemler açığındaki artışın 2010 yılındaki %6.6’lık değere karşı 2011 yılında %10 olarak gerçekleştiği, söz konusu artışın tamamıyla mal ticaretindeki açığın artmasına bağlı olduğu, 2012 yılında da yüksek cari açığın devam ettiği, bu durumun Türk lirasını yatırımcıların ani güven kaybına karşı savunmaz bıraktığı, bununla birlikte, özellikle, zayıf iç talep, azalan petrol fiyatları ve güçlü ihracat artışına bağlı olarak, mal ticaretindeki açığın iyileşmesi ile  cari açığın, 2012 yıl ortasında GSYİH’nın %8.5’i seviyesine gerilediği, </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Ekonomik yavaşlama ve enerji ve gıda fiyatlarındaki düşüş ile cari işlemler açığının gelecek aylarda düşmesinin beklendiği, ancak, dış ekonomik şartlarda beklenen bozulmanın ihracat gelirlerinde artışın sürdürülebilirliğini güçleştireceği, diğer taraftan, doğrudan yabancı  yatırımların cari işlemler açığına kıyasla düşük kaldığı, Merkez Bankası resmi döviz rezervlerinin 2010 yılındaki 61 milyar avroluk seviyesinden 2011 yılında 56 milyar avroya gerilediği, ancak, anılan kaybın 2012 yılı ortasında hafiflediği, özetle, dış dengesizliklerin önemli boyutta olmayı sürdürdüğü,</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2010 yılında %11.9 olan işsizlik oranının gerileyerek 2011 yılında %9.8 seviyesine geldiği ve bu düşüş eğiliminin 2012 yılı ilk yarısında da devam ederek %8.9 seviyesine gerilediği, işgücü piyasasının yalnızca işsizleri değil, her yıl işgücüne katılan yaklaşık 1 milyon kişiyi de absorbe etmesi gerektiği, istihdamın katı kurallarla korunması nedeniyle, işverenlerin yeni işçi istihdamı konusunda tereddütlü oldukları, kayıt dışı istihdamın önemli bir sorun olmaya devam ettiği, özetle, ekonomideki güçlü toparlanmanın istihdamda ciddi artışı ve işsizlik oranında önemli gerilemeyi beraberinde getirdiği,</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 xml:space="preserve">Enflasyonun 2011 yılında %10.5’lik seviyesi ile, 2010 yılı değerinin (%6.4) ve %5.5’lik resmi hedefin neredeyse 2 katına çıktığı, yıllık çekirdek enflasyon oranının 2011 yılında %9.8 olduğu, bununla birlikte, 2012 yılı Ağustos ayında yüksek enerji ve gıda fiyatlarına rağmen, tüketici fiyatlarının gerilediği, </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Para politikalarının artan şekilde başarılı olduğu, kredi genişlemesini sınırlandırdığı ve aynı zamanda cari işlemler açığının hafifletilmesine katkıda bulunduğu, bütçenin, iç talepteki güçlü toparlanmaya bağlı olarak kayda değer ölçüde artan dolaylı vergi gelirleri sonrasında, 2011 yılında beklenenin ötesinde bir performans gösterdiği, özetle, kamu maliyesinin performansının tatmin edici olduğu, mali şeffaflığı artırmaya yönelik çaba gösterilmediği, Türkiye’nin para ve maliye politikası bileşimini kriz süresince başarılı şekilde yürüttüğü, özetle, makroekonomik istikrarın kırılganlığını sürdürdüğü, daha iyi koordine edilen sıkılaştırıcı bir politika bileşiminin istikrarın sağlanmasına katkı sağlayabileceği,</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Piyasa güçlerinin etkileşimi bağlamında, özetle,  hükümetin artan bir şekilde fiyatların belirlenmesine müdahale ettiği ve dış finansmana erişim zorluklarının özelleştirmeyi yavaşlattığı,</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Piyasa giriş ve çıkış kapsamında, 2011 yılında iş kurma prosedürünün daha da kolaylaştırıldığı, bununla birlikte, Türkiye’de iş kurma sürecinin oldukça maliyetli olduğu ve kişi başına düşen milli gelirin %11,2’sine tekabül ettiği, ticari kayıt harçlarının önemli boyutta olduğu, şirket tasfiyesinin hala oldukça maliyetli ve uzun zaman alan bir süreç olduğu ve özetle, piyasaya giriş tatmin edici düzeyde iken, piyasadan çıkış işlemlerinin oldukça maliyetli ve uzun, ayrıca iflas işlemlerinin de halen zor olduğu,</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Mülkiyet hakları da dâhil olmak üzere oldukça iyi işleyen bir hukuk sisteminin mevcut olduğu, ticari sözleşmelerin uygulamaya geçirilmesinin ağır bir süreç olduğu ve 36 işlemden oluştuğu ve ortalama olarak 420 gün sürdüğü, ticaret mahkemeleri hakimlerinin uzmanlaşmalarının ileri düzeyde olmamasının dava süreçlerini uzattığı ve özetle, hukuk sisteminin nispeten iyi işlediği ancak, bu alanda ilerleme kaydedilmediği,</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Mali sektördeki gelişim dikkate alındığında, daha önce hayata geçirilen reformların olumlu etkisiyle mali sektörün dirençli yapısını koruduğu,</w:t>
      </w:r>
    </w:p>
    <w:p w:rsidR="00D07B09" w:rsidRPr="0071284B" w:rsidRDefault="00D07B09" w:rsidP="00EE0A4A">
      <w:pPr>
        <w:jc w:val="both"/>
        <w:rPr>
          <w:rStyle w:val="ft"/>
          <w:color w:val="222222"/>
        </w:rPr>
      </w:pPr>
    </w:p>
    <w:p w:rsidR="00D07B09" w:rsidRPr="0071284B" w:rsidRDefault="00D07B09" w:rsidP="00EE0A4A">
      <w:pPr>
        <w:jc w:val="both"/>
      </w:pPr>
      <w:r w:rsidRPr="0071284B">
        <w:t>belirtilmektedir.</w:t>
      </w:r>
    </w:p>
    <w:p w:rsidR="00D07B09" w:rsidRPr="0071284B" w:rsidRDefault="00D07B09" w:rsidP="00EE0A4A">
      <w:pPr>
        <w:jc w:val="both"/>
      </w:pPr>
    </w:p>
    <w:p w:rsidR="00D07B09" w:rsidRPr="0071284B" w:rsidRDefault="00D07B09" w:rsidP="00EE0A4A">
      <w:pPr>
        <w:ind w:firstLine="708"/>
        <w:jc w:val="both"/>
      </w:pPr>
      <w:r w:rsidRPr="0071284B">
        <w:t xml:space="preserve">Diğer taraftan, Birlik içinde rekabetçi baskı ve piyasa güçleri ile baş edebilme kapasitesi bağlamında: </w:t>
      </w:r>
    </w:p>
    <w:p w:rsidR="00D07B09" w:rsidRPr="0071284B" w:rsidRDefault="00D07B09" w:rsidP="00EE0A4A">
      <w:pPr>
        <w:ind w:firstLine="708"/>
        <w:jc w:val="both"/>
      </w:pPr>
    </w:p>
    <w:p w:rsidR="00D07B09" w:rsidRPr="0071284B" w:rsidRDefault="00D07B09" w:rsidP="00EE0A4A">
      <w:pPr>
        <w:numPr>
          <w:ilvl w:val="0"/>
          <w:numId w:val="10"/>
        </w:numPr>
        <w:ind w:left="284" w:hanging="284"/>
        <w:jc w:val="both"/>
        <w:rPr>
          <w:rStyle w:val="ft"/>
          <w:color w:val="222222"/>
        </w:rPr>
      </w:pPr>
      <w:r w:rsidRPr="0071284B">
        <w:rPr>
          <w:rStyle w:val="ft"/>
          <w:color w:val="222222"/>
        </w:rPr>
        <w:t>Küresel değişkenliğin yoğun olduğu bir ortamda, Türkiye’nin güçlü büyümesinin, ekonomik temellerinin gelişimini ve şoklara karşı artan dayanıklılığını teyit ettiğini, bununla birlikte, cari işlemler açığındaki hızlı artış ve güçlü enflasyonist baskıların Türkiye ekonomisinde ciddi dengesizliklerin geri dönüşüne işaret ettiği, özetle, inceleme dönem</w:t>
      </w:r>
      <w:r>
        <w:rPr>
          <w:rStyle w:val="ft"/>
          <w:color w:val="222222"/>
        </w:rPr>
        <w:t>i</w:t>
      </w:r>
      <w:r w:rsidRPr="0071284B">
        <w:rPr>
          <w:rStyle w:val="ft"/>
          <w:color w:val="222222"/>
        </w:rPr>
        <w:t xml:space="preserve"> itibariyle piyasa mekanizmalarının işleyişinin etkilenmediği,</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Beşeri ve fiziki sermaye bağlamında, reformların ve artan eğitim harcamalarının, eğitime erişim ve okullaşma oranına olumlu etkilerinin görüldüğü, ancak, eğitimin kalitesi ile ilgili sorunların devam ettiği, ayrıca, ülkenin beşeri ve fiziki sermayesinin geliştirilmesinde sınırlı ilerleme kaydedildiği,</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Devlet yardımları alanında çok sınırlı ilerleme sağlandığı, Devlet Yardımları Kanunu’nun uygulama mevzuatının 2011 Eylül ayı sonunda yürürlüğe girmesi öngörülmekle birlikte, anılan mevzuatın ancak 2013 yılı Haziran ayında uygulamaya konulabileceğinin açıklandığı, Devlet Yardımları İzleme ve Denetleme Kurulu’na dair uygulama mevzuatının henüz hazırlanmadığı, bununla birlikte, kapsamlı bir teşvik paketinin 2012 Nisan ayında sunularak Haziran ayında kabul edildiği, Devlet Yardımları İzleme ve Denetleme Kurulu’nun resmi olarak, kapsamlı devlet yardımları envanterini ve tüm devlet yardımlarının müktesebata uyumuna yönelik Eylem Planı’nı oluşturmasının beklendiği, kamı alımlarının hukuki çerçevesinin çok sayıda istisnayı içermeye devam ettiği ve AB müktesebatı ile uyumsuz olduğu, özetle devlet yardımları alanında şeffaflığın geliştirilmesinde çok sınırlı ilerleme sağlandığı,</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AB ile ticari ve ekonomik bütünleşmenin yüksek seviyelerde seyretmeye devam ettiği,</w:t>
      </w:r>
    </w:p>
    <w:p w:rsidR="00D07B09" w:rsidRPr="0071284B" w:rsidRDefault="00D07B09" w:rsidP="00EE0A4A">
      <w:pPr>
        <w:jc w:val="both"/>
        <w:rPr>
          <w:rStyle w:val="ft"/>
          <w:color w:val="222222"/>
        </w:rPr>
      </w:pPr>
    </w:p>
    <w:p w:rsidR="00D07B09" w:rsidRPr="0071284B" w:rsidRDefault="00D07B09" w:rsidP="00EE0A4A">
      <w:pPr>
        <w:numPr>
          <w:ilvl w:val="0"/>
          <w:numId w:val="10"/>
        </w:numPr>
        <w:ind w:left="284" w:hanging="284"/>
        <w:jc w:val="both"/>
        <w:rPr>
          <w:rStyle w:val="ft"/>
          <w:color w:val="222222"/>
        </w:rPr>
      </w:pPr>
      <w:r w:rsidRPr="0071284B">
        <w:rPr>
          <w:rStyle w:val="ft"/>
          <w:color w:val="222222"/>
        </w:rPr>
        <w:t xml:space="preserve">Türkiye’nin uluslararası rekabetçiliğinin, özellikle 2011 yılındaki para biriminin değer kaybına bağlı olarak arttığı, </w:t>
      </w:r>
    </w:p>
    <w:p w:rsidR="00D07B09" w:rsidRPr="0071284B" w:rsidRDefault="00D07B09" w:rsidP="00EE0A4A">
      <w:pPr>
        <w:rPr>
          <w:color w:val="FF0000"/>
        </w:rPr>
      </w:pPr>
    </w:p>
    <w:p w:rsidR="00D07B09" w:rsidRPr="0071284B" w:rsidRDefault="00D07B09" w:rsidP="00EE0A4A">
      <w:r w:rsidRPr="0071284B">
        <w:t>vurgulanmaktadır.</w:t>
      </w:r>
    </w:p>
    <w:p w:rsidR="00D07B09" w:rsidRPr="0071284B" w:rsidRDefault="00D07B09" w:rsidP="00EE0A4A"/>
    <w:p w:rsidR="00D07B09" w:rsidRPr="0071284B" w:rsidRDefault="00D07B09" w:rsidP="00EE0A4A">
      <w:pPr>
        <w:numPr>
          <w:ilvl w:val="0"/>
          <w:numId w:val="11"/>
        </w:numPr>
        <w:tabs>
          <w:tab w:val="left" w:pos="993"/>
        </w:tabs>
        <w:ind w:left="0" w:firstLine="709"/>
        <w:jc w:val="both"/>
      </w:pPr>
      <w:r w:rsidRPr="0071284B">
        <w:t>Rapor’un “Üyelik Yükümlülüklerini Üstlenebilme Yeteneği” başlıklı bölümünde müzakere fasılları itibariyle aşağıda ana hatları ile açıklanan değerlendirmelere yer verilmektedir.</w:t>
      </w:r>
    </w:p>
    <w:p w:rsidR="00D07B09" w:rsidRPr="0071284B" w:rsidRDefault="00D07B09" w:rsidP="00EE0A4A"/>
    <w:p w:rsidR="00D07B09" w:rsidRPr="0071284B" w:rsidRDefault="00D07B09" w:rsidP="00EE0A4A">
      <w:pPr>
        <w:ind w:firstLine="708"/>
        <w:jc w:val="both"/>
        <w:rPr>
          <w:b/>
          <w:bCs/>
          <w:lang w:eastAsia="en-GB"/>
        </w:rPr>
      </w:pPr>
      <w:r w:rsidRPr="0071284B">
        <w:t>Diğer taraftan, 2011 yılı İlerleme Raporu’nda olduğu gibi, “Malların Serbest Dolaşımı”, “İş Kurma Hakkı ve Hizmet Sunma Serbestisi”, “Mali Hizmetler”, “Tarım ve Kırsal Kalkınma”, “Balıkçılık”, “Taşımacılık Politikası”, “Gümrük Birliği” ve “Dış İlişkiler” fasıllarındaki değerlendirmeler kapsamında; 11 Aralık 2006 tarihinde Konsey (Genel İşler ve Dış İlişkiler Konseyi) tarafından kabul edilen ve 14-15 Aralık 2006 tarihlerinde AB Zirvesi’nde onaylanan Türkiye’ye ilişkin kararlara atıf yapılarak, GKRY’de kayıtlı olan ya da son uğradığı liman GKRY’de olan gemiler ve uçaklar tarafından taşınan malların serbest dolaşımına yönelik kısıtlamalar yürürlükte kaldığı sürece, Türkiye’nin yukarıda sıralanan 8 fasılda AB müktesebatını tam olarak uygulama konumunda olmayacağı tekrarlanmaktadır.</w:t>
      </w:r>
    </w:p>
    <w:p w:rsidR="00D07B09" w:rsidRDefault="00D07B09" w:rsidP="00EE0A4A"/>
    <w:p w:rsidR="00D07B09" w:rsidRPr="0071284B" w:rsidRDefault="00D07B09" w:rsidP="00EE0A4A">
      <w:pPr>
        <w:rPr>
          <w:b/>
          <w:bCs/>
        </w:rPr>
      </w:pPr>
      <w:r w:rsidRPr="0071284B">
        <w:rPr>
          <w:b/>
          <w:bCs/>
        </w:rPr>
        <w:t xml:space="preserve">Fasıl 1: </w:t>
      </w:r>
      <w:hyperlink r:id="rId7" w:history="1">
        <w:r w:rsidRPr="0071284B">
          <w:rPr>
            <w:b/>
            <w:bCs/>
          </w:rPr>
          <w:t>Malların Serbest Dolaşımı</w:t>
        </w:r>
      </w:hyperlink>
      <w:r w:rsidRPr="0071284B">
        <w:rPr>
          <w:b/>
          <w:bCs/>
        </w:rPr>
        <w:t xml:space="preserve"> </w:t>
      </w:r>
      <w:r w:rsidRPr="0071284B">
        <w:rPr>
          <w:b/>
          <w:bCs/>
        </w:rPr>
        <w:br/>
      </w:r>
    </w:p>
    <w:p w:rsidR="00D07B09" w:rsidRPr="0071284B" w:rsidRDefault="00D07B09" w:rsidP="00EE0A4A">
      <w:pPr>
        <w:ind w:firstLine="720"/>
        <w:jc w:val="both"/>
        <w:rPr>
          <w:lang w:eastAsia="en-GB"/>
        </w:rPr>
      </w:pPr>
      <w:r w:rsidRPr="0071284B">
        <w:rPr>
          <w:lang w:eastAsia="en-GB"/>
        </w:rPr>
        <w:t>2009 yılı başında muhtelif Ürün Güvenliği Tebliğleri kapsamında uygulamaya konulan ve A.TR dolaşım belgesi eşliğinde AB üzerinden ithalata konu olan, bir diğer ifadeyle serbest dolaşımda bulunan üçüncü ülke menşeli eşyayı hedef alan TAREKS Risk Bazlı İthalat Kontrol Sistem</w:t>
      </w:r>
      <w:r>
        <w:rPr>
          <w:lang w:eastAsia="en-GB"/>
        </w:rPr>
        <w:t>i</w:t>
      </w:r>
      <w:r w:rsidRPr="0071284B">
        <w:rPr>
          <w:lang w:eastAsia="en-GB"/>
        </w:rPr>
        <w:t xml:space="preserve"> yeni ürün kategorileri bakımından genişletil</w:t>
      </w:r>
      <w:r>
        <w:rPr>
          <w:lang w:eastAsia="en-GB"/>
        </w:rPr>
        <w:t xml:space="preserve">miştir. </w:t>
      </w:r>
      <w:r w:rsidRPr="0071284B">
        <w:rPr>
          <w:lang w:eastAsia="en-GB"/>
        </w:rPr>
        <w:t>A.TR dolaşım belgesi eşliğinde AB'de serbest dolaşımda bulunan ürünler için sistem tarafından bir TAREKS referans numarası veril</w:t>
      </w:r>
      <w:r>
        <w:rPr>
          <w:lang w:eastAsia="en-GB"/>
        </w:rPr>
        <w:t>mekte,</w:t>
      </w:r>
      <w:r w:rsidRPr="0071284B">
        <w:rPr>
          <w:lang w:eastAsia="en-GB"/>
        </w:rPr>
        <w:t xml:space="preserve"> böylece ürünler daha ileri aşamada kontrole tabi </w:t>
      </w:r>
      <w:r>
        <w:rPr>
          <w:lang w:eastAsia="en-GB"/>
        </w:rPr>
        <w:t>tutulmamaktadır.</w:t>
      </w:r>
      <w:r w:rsidRPr="0071284B">
        <w:rPr>
          <w:lang w:eastAsia="en-GB"/>
        </w:rPr>
        <w:t xml:space="preserve"> Üçüncü ülkelerden</w:t>
      </w:r>
      <w:r>
        <w:rPr>
          <w:lang w:eastAsia="en-GB"/>
        </w:rPr>
        <w:t xml:space="preserve"> yapılan</w:t>
      </w:r>
      <w:r w:rsidRPr="0071284B">
        <w:rPr>
          <w:lang w:eastAsia="en-GB"/>
        </w:rPr>
        <w:t xml:space="preserve"> Yeni Yaklaşım Direktifleri kapsamında yer alan ürünlerden basınçlı kaplar ve gaz ekipmanları ithalat</w:t>
      </w:r>
      <w:r>
        <w:rPr>
          <w:lang w:eastAsia="en-GB"/>
        </w:rPr>
        <w:t>ında</w:t>
      </w:r>
      <w:r w:rsidRPr="0071284B">
        <w:rPr>
          <w:lang w:eastAsia="en-GB"/>
        </w:rPr>
        <w:t xml:space="preserve"> belge üzerinden uygunluk değerlendirmelerine devam edil</w:t>
      </w:r>
      <w:r>
        <w:rPr>
          <w:lang w:eastAsia="en-GB"/>
        </w:rPr>
        <w:t>mekte</w:t>
      </w:r>
      <w:r w:rsidRPr="0071284B">
        <w:rPr>
          <w:lang w:eastAsia="en-GB"/>
        </w:rPr>
        <w:t>, gerekli görülmesi halinde ise gümrük kapılarında fiziki muayeneler</w:t>
      </w:r>
      <w:r>
        <w:rPr>
          <w:lang w:eastAsia="en-GB"/>
        </w:rPr>
        <w:t xml:space="preserve"> yapılmaktadır. </w:t>
      </w:r>
      <w:r w:rsidRPr="0071284B">
        <w:rPr>
          <w:lang w:eastAsia="en-GB"/>
        </w:rPr>
        <w:t>Bu uygulama mezkûr malların ülkemiz pazarına girişini de geciktir</w:t>
      </w:r>
      <w:r>
        <w:rPr>
          <w:lang w:eastAsia="en-GB"/>
        </w:rPr>
        <w:t>mektedir.</w:t>
      </w:r>
      <w:r w:rsidRPr="0071284B">
        <w:rPr>
          <w:lang w:eastAsia="en-GB"/>
        </w:rPr>
        <w:t xml:space="preserve"> </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Pr>
          <w:lang w:eastAsia="en-GB"/>
        </w:rPr>
        <w:t>Ü</w:t>
      </w:r>
      <w:r w:rsidRPr="0071284B">
        <w:rPr>
          <w:lang w:eastAsia="en-GB"/>
        </w:rPr>
        <w:t xml:space="preserve">çüncü ülkeler menşeli AB'de serbest dolaşımda bulunan tekstil ve hazır giyim ürünleri Türkiye pazarına girişinde ilave vergilere tabi </w:t>
      </w:r>
      <w:r>
        <w:rPr>
          <w:lang w:eastAsia="en-GB"/>
        </w:rPr>
        <w:t>tutulmaktadır.</w:t>
      </w:r>
      <w:r w:rsidRPr="0071284B">
        <w:rPr>
          <w:lang w:eastAsia="en-GB"/>
        </w:rPr>
        <w:t xml:space="preserve"> 22 Haziran 2011 tarihinden bu yana yürürlükte </w:t>
      </w:r>
      <w:r>
        <w:rPr>
          <w:lang w:eastAsia="en-GB"/>
        </w:rPr>
        <w:t>olan s</w:t>
      </w:r>
      <w:r w:rsidRPr="0071284B">
        <w:rPr>
          <w:lang w:eastAsia="en-GB"/>
        </w:rPr>
        <w:t>öz konusu uygulama</w:t>
      </w:r>
      <w:r>
        <w:rPr>
          <w:lang w:eastAsia="en-GB"/>
        </w:rPr>
        <w:t xml:space="preserve">, </w:t>
      </w:r>
      <w:r w:rsidRPr="0071284B">
        <w:rPr>
          <w:lang w:eastAsia="en-GB"/>
        </w:rPr>
        <w:t>Gümrük Birliği'nin temel pre</w:t>
      </w:r>
      <w:r>
        <w:rPr>
          <w:lang w:eastAsia="en-GB"/>
        </w:rPr>
        <w:t>nsiplerine aykırılık teşkil etmektedir.</w:t>
      </w:r>
      <w:r w:rsidRPr="0071284B">
        <w:rPr>
          <w:lang w:eastAsia="en-GB"/>
        </w:rPr>
        <w:t xml:space="preserve"> </w:t>
      </w:r>
      <w:r>
        <w:rPr>
          <w:lang w:eastAsia="en-GB"/>
        </w:rPr>
        <w:t>Türkiye tarafından</w:t>
      </w:r>
      <w:r w:rsidRPr="0071284B">
        <w:rPr>
          <w:lang w:eastAsia="en-GB"/>
        </w:rPr>
        <w:t xml:space="preserve"> söz konusu önlemlere ilişkin olarak 1 Haziran 2012 tarihinden geçerli olmak üzere, Türkiye'nin STA imzaladığı ülkelerden gelen mallara mezkur önlemin uygulanmamasının kararlaştırıl</w:t>
      </w:r>
      <w:r>
        <w:rPr>
          <w:lang w:eastAsia="en-GB"/>
        </w:rPr>
        <w:t>mış,</w:t>
      </w:r>
      <w:r w:rsidRPr="0071284B">
        <w:rPr>
          <w:lang w:eastAsia="en-GB"/>
        </w:rPr>
        <w:t xml:space="preserve"> yine benzer şekilde çapraz kümülasyon sisteminde yer alan ülkelerden gelen mallar bakımından da tercihli statünün tevsiki halinde mezkur önlemin uygulanmaması yönünde karar alın</w:t>
      </w:r>
      <w:r>
        <w:rPr>
          <w:lang w:eastAsia="en-GB"/>
        </w:rPr>
        <w:t xml:space="preserve">mıştır. </w:t>
      </w:r>
      <w:r w:rsidRPr="0071284B">
        <w:rPr>
          <w:lang w:eastAsia="en-GB"/>
        </w:rPr>
        <w:t>Üçüncü ülkeler menşeli söz konusu ürünler bakımından önlem halen yürürlükte bulunmaktadır.</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sidRPr="0071284B">
        <w:rPr>
          <w:lang w:eastAsia="en-GB"/>
        </w:rPr>
        <w:t>Belirli ürünlerin ticaretinde teknik engeller</w:t>
      </w:r>
      <w:r>
        <w:rPr>
          <w:lang w:eastAsia="en-GB"/>
        </w:rPr>
        <w:t xml:space="preserve"> devam etmektedir. E</w:t>
      </w:r>
      <w:r w:rsidRPr="0071284B">
        <w:rPr>
          <w:lang w:eastAsia="en-GB"/>
        </w:rPr>
        <w:t>czacılık ürünlerinin kayıt işlemlerinde iyi üretim uygulamaları</w:t>
      </w:r>
      <w:r>
        <w:rPr>
          <w:lang w:eastAsia="en-GB"/>
        </w:rPr>
        <w:t>, s</w:t>
      </w:r>
      <w:r w:rsidRPr="0071284B">
        <w:rPr>
          <w:lang w:eastAsia="en-GB"/>
        </w:rPr>
        <w:t>ertifikasyon zorunluluğunun getirilmesi, tekstil ve hazır giyim ithalatında kayıt zorunluluğu, eski ve kullanılmış eşya ithalatındaki izin mekanizması</w:t>
      </w:r>
      <w:r>
        <w:rPr>
          <w:lang w:eastAsia="en-GB"/>
        </w:rPr>
        <w:t xml:space="preserve"> “d</w:t>
      </w:r>
      <w:r w:rsidRPr="0071284B">
        <w:rPr>
          <w:lang w:eastAsia="en-GB"/>
        </w:rPr>
        <w:t>e facto” olarak AB mallarına karşı ayr</w:t>
      </w:r>
      <w:r>
        <w:rPr>
          <w:lang w:eastAsia="en-GB"/>
        </w:rPr>
        <w:t>ımcılık yaratmaktadır.</w:t>
      </w:r>
      <w:r w:rsidRPr="0071284B">
        <w:rPr>
          <w:lang w:eastAsia="en-GB"/>
        </w:rPr>
        <w:t xml:space="preserve"> </w:t>
      </w:r>
      <w:r>
        <w:rPr>
          <w:lang w:eastAsia="en-GB"/>
        </w:rPr>
        <w:t>A</w:t>
      </w:r>
      <w:r w:rsidRPr="0071284B">
        <w:rPr>
          <w:lang w:eastAsia="en-GB"/>
        </w:rPr>
        <w:t>lkollü iç</w:t>
      </w:r>
      <w:r>
        <w:rPr>
          <w:lang w:eastAsia="en-GB"/>
        </w:rPr>
        <w:t>kilerde</w:t>
      </w:r>
      <w:r w:rsidRPr="0071284B">
        <w:rPr>
          <w:lang w:eastAsia="en-GB"/>
        </w:rPr>
        <w:t xml:space="preserve"> bir önceki kontrol sertifikası sisteminin yerini ön bildirim sistemine bırakm</w:t>
      </w:r>
      <w:r>
        <w:rPr>
          <w:lang w:eastAsia="en-GB"/>
        </w:rPr>
        <w:t xml:space="preserve">ası </w:t>
      </w:r>
      <w:r w:rsidRPr="0071284B">
        <w:rPr>
          <w:lang w:eastAsia="en-GB"/>
        </w:rPr>
        <w:t>bazı iyileşmelere neden ol</w:t>
      </w:r>
      <w:r>
        <w:rPr>
          <w:lang w:eastAsia="en-GB"/>
        </w:rPr>
        <w:t>makla beraber</w:t>
      </w:r>
      <w:r w:rsidRPr="0071284B">
        <w:rPr>
          <w:lang w:eastAsia="en-GB"/>
        </w:rPr>
        <w:t>, hurda alüminyum</w:t>
      </w:r>
      <w:r>
        <w:rPr>
          <w:lang w:eastAsia="en-GB"/>
        </w:rPr>
        <w:t>,</w:t>
      </w:r>
      <w:r w:rsidRPr="0071284B">
        <w:rPr>
          <w:lang w:eastAsia="en-GB"/>
        </w:rPr>
        <w:t xml:space="preserve"> hurda kâğıt, hurda bakır ve bazı işlenmiş tarım ürünlerine yönelik kısıtlamalar, “de facto” olarak Gümrük Birliği kurallarına aykırılık teşkil et</w:t>
      </w:r>
      <w:r>
        <w:rPr>
          <w:lang w:eastAsia="en-GB"/>
        </w:rPr>
        <w:t>mektedir.</w:t>
      </w:r>
      <w:r w:rsidRPr="0071284B">
        <w:rPr>
          <w:lang w:eastAsia="en-GB"/>
        </w:rPr>
        <w:t xml:space="preserve"> </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Pr>
          <w:lang w:eastAsia="en-GB"/>
        </w:rPr>
        <w:t>Düzenlenmemiş</w:t>
      </w:r>
      <w:r w:rsidRPr="0071284B">
        <w:rPr>
          <w:lang w:eastAsia="en-GB"/>
        </w:rPr>
        <w:t xml:space="preserve"> alanda karşılıklı tanıma ilkesinin ulusal mevzuata aktarılmış olması</w:t>
      </w:r>
      <w:r>
        <w:rPr>
          <w:lang w:eastAsia="en-GB"/>
        </w:rPr>
        <w:t xml:space="preserve"> u</w:t>
      </w:r>
      <w:r w:rsidRPr="0071284B">
        <w:rPr>
          <w:lang w:eastAsia="en-GB"/>
        </w:rPr>
        <w:t>yum sürecinde önemli bir adım olarak</w:t>
      </w:r>
      <w:r>
        <w:rPr>
          <w:lang w:eastAsia="en-GB"/>
        </w:rPr>
        <w:t xml:space="preserve"> değerlendirilmektedir.</w:t>
      </w:r>
      <w:r w:rsidRPr="0071284B">
        <w:rPr>
          <w:lang w:eastAsia="en-GB"/>
        </w:rPr>
        <w:t xml:space="preserve"> 1 Ocak 2013 tarihinden itibaren yürürlüğe girece</w:t>
      </w:r>
      <w:r>
        <w:rPr>
          <w:lang w:eastAsia="en-GB"/>
        </w:rPr>
        <w:t>k olan</w:t>
      </w:r>
      <w:r w:rsidRPr="0071284B">
        <w:rPr>
          <w:lang w:eastAsia="en-GB"/>
        </w:rPr>
        <w:t xml:space="preserve"> Yönetmeli</w:t>
      </w:r>
      <w:r>
        <w:rPr>
          <w:lang w:eastAsia="en-GB"/>
        </w:rPr>
        <w:t>k</w:t>
      </w:r>
      <w:r w:rsidRPr="0071284B">
        <w:rPr>
          <w:lang w:eastAsia="en-GB"/>
        </w:rPr>
        <w:t xml:space="preserve"> malların serbest dolaşımı alanında bir dizi teknik engeli ortadan kaldıraca</w:t>
      </w:r>
      <w:r>
        <w:rPr>
          <w:lang w:eastAsia="en-GB"/>
        </w:rPr>
        <w:t>ktır.</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Pr>
          <w:lang w:eastAsia="en-GB"/>
        </w:rPr>
        <w:t>Malların Serbest Dolaşımı faslı</w:t>
      </w:r>
      <w:r w:rsidRPr="0071284B">
        <w:rPr>
          <w:lang w:eastAsia="en-GB"/>
        </w:rPr>
        <w:t xml:space="preserve"> ile ilgili</w:t>
      </w:r>
      <w:r>
        <w:rPr>
          <w:lang w:eastAsia="en-GB"/>
        </w:rPr>
        <w:t xml:space="preserve"> olarak olumlu gelişmeler kaydedilmekle </w:t>
      </w:r>
      <w:r w:rsidRPr="0071284B">
        <w:rPr>
          <w:lang w:eastAsia="en-GB"/>
        </w:rPr>
        <w:t>birlikte,  2/97 sayılı OKK II sayılı Ekinde yer alan Gümrük Birliği alanındaki ticarette teknik engellerin kaldırılmasına yönelik AB enstrümanlarını</w:t>
      </w:r>
      <w:r>
        <w:rPr>
          <w:lang w:eastAsia="en-GB"/>
        </w:rPr>
        <w:t>n Türkiye’nin</w:t>
      </w:r>
      <w:r w:rsidRPr="0071284B">
        <w:rPr>
          <w:lang w:eastAsia="en-GB"/>
        </w:rPr>
        <w:t xml:space="preserve"> yasal düzenine aktar</w:t>
      </w:r>
      <w:r>
        <w:rPr>
          <w:lang w:eastAsia="en-GB"/>
        </w:rPr>
        <w:t>ılması</w:t>
      </w:r>
      <w:r w:rsidRPr="0071284B">
        <w:rPr>
          <w:lang w:eastAsia="en-GB"/>
        </w:rPr>
        <w:t xml:space="preserve"> gerek</w:t>
      </w:r>
      <w:r>
        <w:rPr>
          <w:lang w:eastAsia="en-GB"/>
        </w:rPr>
        <w:t>mektedir. Bu çerçevede, g</w:t>
      </w:r>
      <w:r w:rsidRPr="0071284B">
        <w:rPr>
          <w:lang w:eastAsia="en-GB"/>
        </w:rPr>
        <w:t xml:space="preserve">üncellenmiş mezkûr listenin </w:t>
      </w:r>
      <w:r>
        <w:rPr>
          <w:lang w:eastAsia="en-GB"/>
        </w:rPr>
        <w:t xml:space="preserve">Türkiye </w:t>
      </w:r>
      <w:r w:rsidRPr="0071284B">
        <w:rPr>
          <w:lang w:eastAsia="en-GB"/>
        </w:rPr>
        <w:t>tarafından iç hukuk</w:t>
      </w:r>
      <w:r>
        <w:rPr>
          <w:lang w:eastAsia="en-GB"/>
        </w:rPr>
        <w:t xml:space="preserve">a </w:t>
      </w:r>
      <w:r w:rsidRPr="0071284B">
        <w:rPr>
          <w:lang w:eastAsia="en-GB"/>
        </w:rPr>
        <w:t>aktarılması kabul edil</w:t>
      </w:r>
      <w:r>
        <w:rPr>
          <w:lang w:eastAsia="en-GB"/>
        </w:rPr>
        <w:t>miştir.</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sidRPr="0071284B">
        <w:rPr>
          <w:lang w:eastAsia="en-GB"/>
        </w:rPr>
        <w:t> Yatay düzenlemelere ilişkin olarak standardizasyon alanında bazı ilerlemelerin kaydedilmiş</w:t>
      </w:r>
      <w:r>
        <w:rPr>
          <w:lang w:eastAsia="en-GB"/>
        </w:rPr>
        <w:t xml:space="preserve">tir. </w:t>
      </w:r>
      <w:r w:rsidRPr="0071284B">
        <w:rPr>
          <w:lang w:eastAsia="en-GB"/>
        </w:rPr>
        <w:t>TSE Ocak 2012’de CEN ve CENELEC’e tam üye ol</w:t>
      </w:r>
      <w:r>
        <w:rPr>
          <w:lang w:eastAsia="en-GB"/>
        </w:rPr>
        <w:t xml:space="preserve">muş, </w:t>
      </w:r>
      <w:r w:rsidRPr="0071284B">
        <w:rPr>
          <w:lang w:eastAsia="en-GB"/>
        </w:rPr>
        <w:t>böylece Türk standardizasyon sistemi AB sistemi ile tam entegre hale gel</w:t>
      </w:r>
      <w:r>
        <w:rPr>
          <w:lang w:eastAsia="en-GB"/>
        </w:rPr>
        <w:t>miştir.</w:t>
      </w:r>
      <w:r w:rsidRPr="0071284B">
        <w:rPr>
          <w:lang w:eastAsia="en-GB"/>
        </w:rPr>
        <w:t xml:space="preserve"> Diğer taraftan TSE'nin kuruluş kanunu 2011 </w:t>
      </w:r>
      <w:r>
        <w:rPr>
          <w:lang w:eastAsia="en-GB"/>
        </w:rPr>
        <w:t xml:space="preserve">yılı </w:t>
      </w:r>
      <w:r w:rsidRPr="0071284B">
        <w:rPr>
          <w:lang w:eastAsia="en-GB"/>
        </w:rPr>
        <w:t>Kasım</w:t>
      </w:r>
      <w:r>
        <w:rPr>
          <w:lang w:eastAsia="en-GB"/>
        </w:rPr>
        <w:t xml:space="preserve"> ayında</w:t>
      </w:r>
      <w:r w:rsidRPr="0071284B">
        <w:rPr>
          <w:lang w:eastAsia="en-GB"/>
        </w:rPr>
        <w:t xml:space="preserve"> gözden geçiril</w:t>
      </w:r>
      <w:r>
        <w:rPr>
          <w:lang w:eastAsia="en-GB"/>
        </w:rPr>
        <w:t>miş</w:t>
      </w:r>
      <w:r w:rsidRPr="0071284B">
        <w:rPr>
          <w:lang w:eastAsia="en-GB"/>
        </w:rPr>
        <w:t>, zorunlu standartlara dair referanslar çıkarıl</w:t>
      </w:r>
      <w:r>
        <w:rPr>
          <w:lang w:eastAsia="en-GB"/>
        </w:rPr>
        <w:t>mış ve</w:t>
      </w:r>
      <w:r w:rsidRPr="0071284B">
        <w:rPr>
          <w:lang w:eastAsia="en-GB"/>
        </w:rPr>
        <w:t xml:space="preserve"> tüm yayınlar fikri mülkiyet hakları kanununa tabi </w:t>
      </w:r>
      <w:r>
        <w:rPr>
          <w:lang w:eastAsia="en-GB"/>
        </w:rPr>
        <w:t>kılınmıştır</w:t>
      </w:r>
      <w:r w:rsidRPr="0071284B">
        <w:rPr>
          <w:lang w:eastAsia="en-GB"/>
        </w:rPr>
        <w:t>. Öte yandan, TSE’nin AB standartlarını uyumlaştırma düzeyinin art</w:t>
      </w:r>
      <w:r>
        <w:rPr>
          <w:lang w:eastAsia="en-GB"/>
        </w:rPr>
        <w:t>mıştır. B</w:t>
      </w:r>
      <w:r w:rsidRPr="0071284B">
        <w:rPr>
          <w:lang w:eastAsia="en-GB"/>
        </w:rPr>
        <w:t>u kapsamda TSE</w:t>
      </w:r>
      <w:r>
        <w:rPr>
          <w:lang w:eastAsia="en-GB"/>
        </w:rPr>
        <w:t xml:space="preserve"> tarafından </w:t>
      </w:r>
      <w:r w:rsidRPr="0071284B">
        <w:rPr>
          <w:lang w:eastAsia="en-GB"/>
        </w:rPr>
        <w:t>CEN ve CENELEC’e ait toplam 17,422 adet, Avrupa Telekomünikasyon Standartları Enstitüsü (ETSI)’ne ait de 391</w:t>
      </w:r>
      <w:r>
        <w:rPr>
          <w:lang w:eastAsia="en-GB"/>
        </w:rPr>
        <w:t xml:space="preserve"> adet</w:t>
      </w:r>
      <w:r w:rsidRPr="0071284B">
        <w:rPr>
          <w:lang w:eastAsia="en-GB"/>
        </w:rPr>
        <w:t xml:space="preserve"> standardı uyumlaştır</w:t>
      </w:r>
      <w:r>
        <w:rPr>
          <w:lang w:eastAsia="en-GB"/>
        </w:rPr>
        <w:t>mıştır. B</w:t>
      </w:r>
      <w:r w:rsidRPr="0071284B">
        <w:rPr>
          <w:lang w:eastAsia="en-GB"/>
        </w:rPr>
        <w:t>u bakımdan</w:t>
      </w:r>
      <w:r>
        <w:rPr>
          <w:lang w:eastAsia="en-GB"/>
        </w:rPr>
        <w:t>,</w:t>
      </w:r>
      <w:r w:rsidRPr="0071284B">
        <w:rPr>
          <w:lang w:eastAsia="en-GB"/>
        </w:rPr>
        <w:t xml:space="preserve"> Avrupa standartlarına uyum oranı %96'ya ulaş</w:t>
      </w:r>
      <w:r>
        <w:rPr>
          <w:lang w:eastAsia="en-GB"/>
        </w:rPr>
        <w:t>mıştır. A</w:t>
      </w:r>
      <w:r w:rsidRPr="0071284B">
        <w:rPr>
          <w:lang w:eastAsia="en-GB"/>
        </w:rPr>
        <w:t>ncak TSE</w:t>
      </w:r>
      <w:r>
        <w:rPr>
          <w:lang w:eastAsia="en-GB"/>
        </w:rPr>
        <w:t xml:space="preserve"> tarafından</w:t>
      </w:r>
      <w:r w:rsidRPr="0071284B">
        <w:rPr>
          <w:lang w:eastAsia="en-GB"/>
        </w:rPr>
        <w:t xml:space="preserve"> standardizasyon çalışmalarında KOBİ'leri ve tüketici derneklerini de k</w:t>
      </w:r>
      <w:r>
        <w:rPr>
          <w:lang w:eastAsia="en-GB"/>
        </w:rPr>
        <w:t>apsayıcı</w:t>
      </w:r>
      <w:r w:rsidRPr="0071284B">
        <w:rPr>
          <w:lang w:eastAsia="en-GB"/>
        </w:rPr>
        <w:t xml:space="preserve"> yeni bi</w:t>
      </w:r>
      <w:r>
        <w:rPr>
          <w:lang w:eastAsia="en-GB"/>
        </w:rPr>
        <w:t>r yaklaşım benimsenmesi gerekmektedir.</w:t>
      </w:r>
    </w:p>
    <w:p w:rsidR="00D07B09" w:rsidRPr="0071284B" w:rsidRDefault="00D07B09" w:rsidP="00EE0A4A">
      <w:pPr>
        <w:ind w:firstLine="720"/>
        <w:jc w:val="both"/>
        <w:rPr>
          <w:lang w:eastAsia="en-GB"/>
        </w:rPr>
      </w:pPr>
    </w:p>
    <w:p w:rsidR="00D07B09" w:rsidRDefault="00D07B09" w:rsidP="00EE0A4A">
      <w:pPr>
        <w:jc w:val="both"/>
        <w:rPr>
          <w:lang w:eastAsia="en-GB"/>
        </w:rPr>
      </w:pPr>
      <w:r w:rsidRPr="0071284B">
        <w:rPr>
          <w:lang w:eastAsia="en-GB"/>
        </w:rPr>
        <w:tab/>
        <w:t>Uygunluk değerlendirmesi alanında onaylanmış kuruluşlara ilişkin olumlu gelişmeler kaydedil</w:t>
      </w:r>
      <w:r>
        <w:rPr>
          <w:lang w:eastAsia="en-GB"/>
        </w:rPr>
        <w:t>miştir. B</w:t>
      </w:r>
      <w:r w:rsidRPr="0071284B">
        <w:rPr>
          <w:lang w:eastAsia="en-GB"/>
        </w:rPr>
        <w:t>u çerçevede 2011'de 18 olan Türkiye tarafından atanmış onaylanmış kuruluş sayısı 2012 yılı içerisinde 23'e yüksel</w:t>
      </w:r>
      <w:r>
        <w:rPr>
          <w:lang w:eastAsia="en-GB"/>
        </w:rPr>
        <w:t>miştir.</w:t>
      </w:r>
    </w:p>
    <w:p w:rsidR="00D07B09" w:rsidRPr="0071284B" w:rsidRDefault="00D07B09" w:rsidP="00EE0A4A">
      <w:pPr>
        <w:jc w:val="both"/>
        <w:rPr>
          <w:lang w:eastAsia="en-GB"/>
        </w:rPr>
      </w:pPr>
    </w:p>
    <w:p w:rsidR="00D07B09" w:rsidRDefault="00D07B09" w:rsidP="00EE0A4A">
      <w:pPr>
        <w:ind w:firstLine="720"/>
        <w:jc w:val="both"/>
        <w:rPr>
          <w:lang w:eastAsia="en-GB"/>
        </w:rPr>
      </w:pPr>
      <w:r w:rsidRPr="0071284B">
        <w:rPr>
          <w:lang w:eastAsia="en-GB"/>
        </w:rPr>
        <w:t>Avrupa Akredit</w:t>
      </w:r>
      <w:r>
        <w:rPr>
          <w:lang w:eastAsia="en-GB"/>
        </w:rPr>
        <w:t>asyon Birliği üyesi olan TÜRKAK</w:t>
      </w:r>
      <w:r w:rsidRPr="0071284B">
        <w:rPr>
          <w:lang w:eastAsia="en-GB"/>
        </w:rPr>
        <w:t xml:space="preserve">, </w:t>
      </w:r>
      <w:r w:rsidRPr="002C291E">
        <w:rPr>
          <w:lang w:eastAsia="en-GB"/>
        </w:rPr>
        <w:t xml:space="preserve">halen Avrupa Akreditasyon Birliği'nin </w:t>
      </w:r>
      <w:r w:rsidRPr="002C291E">
        <w:rPr>
          <w:b/>
          <w:bCs/>
          <w:lang w:eastAsia="en-GB"/>
        </w:rPr>
        <w:t>(EA</w:t>
      </w:r>
      <w:r w:rsidRPr="002C291E">
        <w:rPr>
          <w:lang w:eastAsia="en-GB"/>
        </w:rPr>
        <w:t xml:space="preserve">) üyesidir. </w:t>
      </w:r>
      <w:r>
        <w:rPr>
          <w:lang w:eastAsia="en-GB"/>
        </w:rPr>
        <w:t xml:space="preserve">Bu çerçevede, TURKAK tarafından </w:t>
      </w:r>
      <w:r w:rsidRPr="002C291E">
        <w:rPr>
          <w:lang w:eastAsia="en-GB"/>
        </w:rPr>
        <w:t>EA'nın taraf olduğu yedi çok taraflı Anlaşmayı imzala</w:t>
      </w:r>
      <w:r>
        <w:rPr>
          <w:lang w:eastAsia="en-GB"/>
        </w:rPr>
        <w:t>nmış,</w:t>
      </w:r>
      <w:r w:rsidRPr="0071284B">
        <w:rPr>
          <w:i/>
          <w:iCs/>
          <w:lang w:eastAsia="en-GB"/>
        </w:rPr>
        <w:t xml:space="preserve"> </w:t>
      </w:r>
      <w:r>
        <w:rPr>
          <w:lang w:eastAsia="en-GB"/>
        </w:rPr>
        <w:t>TURKAK'ın a</w:t>
      </w:r>
      <w:r w:rsidRPr="0071284B">
        <w:rPr>
          <w:lang w:eastAsia="en-GB"/>
        </w:rPr>
        <w:t>kreditasyon sayısı geçen yıla göre %13 artarak 647'ye ulaş</w:t>
      </w:r>
      <w:r>
        <w:rPr>
          <w:lang w:eastAsia="en-GB"/>
        </w:rPr>
        <w:t>mıştır.</w:t>
      </w:r>
      <w:r w:rsidRPr="0071284B">
        <w:rPr>
          <w:lang w:eastAsia="en-GB"/>
        </w:rPr>
        <w:t xml:space="preserve"> Diğer taraftan, TURKAK'ın Bilim, Sanayi ve Teknoloji Bakanlığı yerine AB Bakanlığı ile ilişkilendirilmesi</w:t>
      </w:r>
      <w:r>
        <w:rPr>
          <w:lang w:eastAsia="en-GB"/>
        </w:rPr>
        <w:t>,</w:t>
      </w:r>
      <w:r w:rsidRPr="0071284B">
        <w:rPr>
          <w:lang w:eastAsia="en-GB"/>
        </w:rPr>
        <w:t xml:space="preserve"> şeffaflığın artırılması ve menfaat çatışmasının önlenmesi bakımından önemli</w:t>
      </w:r>
      <w:r>
        <w:rPr>
          <w:lang w:eastAsia="en-GB"/>
        </w:rPr>
        <w:t>dir.</w:t>
      </w:r>
      <w:r w:rsidRPr="0071284B">
        <w:rPr>
          <w:lang w:eastAsia="en-GB"/>
        </w:rPr>
        <w:t xml:space="preserve"> </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sidRPr="0071284B">
        <w:rPr>
          <w:lang w:eastAsia="en-GB"/>
        </w:rPr>
        <w:t>Yasal metroloji alanında birtakım olumlu gelişmelerin kaydedilmiş</w:t>
      </w:r>
      <w:r>
        <w:rPr>
          <w:lang w:eastAsia="en-GB"/>
        </w:rPr>
        <w:t>tir.</w:t>
      </w:r>
      <w:r w:rsidRPr="0071284B">
        <w:rPr>
          <w:lang w:eastAsia="en-GB"/>
        </w:rPr>
        <w:t xml:space="preserve"> </w:t>
      </w:r>
      <w:r>
        <w:rPr>
          <w:lang w:eastAsia="en-GB"/>
        </w:rPr>
        <w:t>B</w:t>
      </w:r>
      <w:r w:rsidRPr="0071284B">
        <w:rPr>
          <w:lang w:eastAsia="en-GB"/>
        </w:rPr>
        <w:t>u çerçevede takografların bakımı, kontrolü ve onaylanmasına ilişkin yeni düzenlemelerin yanı sıra Ölçü Aletleri'nin tamir ve ayarlanmasına yetkili kişilerin sertifikasyonuna dair yönetmeli</w:t>
      </w:r>
      <w:r>
        <w:rPr>
          <w:lang w:eastAsia="en-GB"/>
        </w:rPr>
        <w:t>k</w:t>
      </w:r>
      <w:r w:rsidRPr="0071284B">
        <w:rPr>
          <w:lang w:eastAsia="en-GB"/>
        </w:rPr>
        <w:t xml:space="preserve"> hayata geçiril</w:t>
      </w:r>
      <w:r>
        <w:rPr>
          <w:lang w:eastAsia="en-GB"/>
        </w:rPr>
        <w:t>miştir. Y</w:t>
      </w:r>
      <w:r w:rsidRPr="0071284B">
        <w:rPr>
          <w:lang w:eastAsia="en-GB"/>
        </w:rPr>
        <w:t xml:space="preserve">asal metroloji alanında </w:t>
      </w:r>
      <w:r>
        <w:rPr>
          <w:lang w:eastAsia="en-GB"/>
        </w:rPr>
        <w:t>hazırlanan</w:t>
      </w:r>
      <w:r w:rsidRPr="0071284B">
        <w:rPr>
          <w:lang w:eastAsia="en-GB"/>
        </w:rPr>
        <w:t xml:space="preserve"> ulusal strateji kabul edil</w:t>
      </w:r>
      <w:r>
        <w:rPr>
          <w:lang w:eastAsia="en-GB"/>
        </w:rPr>
        <w:t>miştir.</w:t>
      </w:r>
    </w:p>
    <w:p w:rsidR="00D07B09" w:rsidRPr="0071284B" w:rsidRDefault="00D07B09" w:rsidP="00EE0A4A">
      <w:pPr>
        <w:ind w:firstLine="720"/>
        <w:jc w:val="both"/>
        <w:rPr>
          <w:lang w:eastAsia="en-GB"/>
        </w:rPr>
      </w:pPr>
    </w:p>
    <w:p w:rsidR="00D07B09" w:rsidRDefault="00D07B09" w:rsidP="00EE0A4A">
      <w:pPr>
        <w:ind w:firstLine="720"/>
        <w:jc w:val="both"/>
        <w:rPr>
          <w:lang w:eastAsia="en-GB"/>
        </w:rPr>
      </w:pPr>
      <w:r w:rsidRPr="0071284B">
        <w:rPr>
          <w:lang w:eastAsia="en-GB"/>
        </w:rPr>
        <w:t>Piyasa gözetimi alanında Başbakanlık tarafından Eylül 2011 tarihinde Piyasa Gözetimi ve Ürün Güvenliği Değerlendirme Kurulu'na ilişkin bir sirküler yayımlan</w:t>
      </w:r>
      <w:r>
        <w:rPr>
          <w:lang w:eastAsia="en-GB"/>
        </w:rPr>
        <w:t>mıştır. B</w:t>
      </w:r>
      <w:r w:rsidRPr="0071284B">
        <w:rPr>
          <w:lang w:eastAsia="en-GB"/>
        </w:rPr>
        <w:t xml:space="preserve">ahse konu Kurul bu alanda faaliyette bulunan tüm kamu kuruluşlarının konuya dikkatlerinin çekilmesi bakımından </w:t>
      </w:r>
      <w:r>
        <w:rPr>
          <w:lang w:eastAsia="en-GB"/>
        </w:rPr>
        <w:t xml:space="preserve">önem teşkil etmektedir. </w:t>
      </w:r>
      <w:r w:rsidRPr="0071284B">
        <w:rPr>
          <w:lang w:eastAsia="en-GB"/>
        </w:rPr>
        <w:t>Mezkur Kurul</w:t>
      </w:r>
      <w:r>
        <w:rPr>
          <w:lang w:eastAsia="en-GB"/>
        </w:rPr>
        <w:t xml:space="preserve"> tarafından</w:t>
      </w:r>
      <w:r w:rsidRPr="0071284B">
        <w:rPr>
          <w:lang w:eastAsia="en-GB"/>
        </w:rPr>
        <w:t xml:space="preserve"> 2012-2014 Ulusal Piyasa Gözetimi Stratejisi kabul e</w:t>
      </w:r>
      <w:r>
        <w:rPr>
          <w:lang w:eastAsia="en-GB"/>
        </w:rPr>
        <w:t>dilmiştir.</w:t>
      </w:r>
      <w:r w:rsidRPr="0071284B">
        <w:rPr>
          <w:lang w:eastAsia="en-GB"/>
        </w:rPr>
        <w:t xml:space="preserve"> Gümrük ve Ticaret Bakanlığı tarafından </w:t>
      </w:r>
      <w:r>
        <w:rPr>
          <w:lang w:eastAsia="en-GB"/>
        </w:rPr>
        <w:t xml:space="preserve">düzenlenmemiş </w:t>
      </w:r>
      <w:r w:rsidRPr="0071284B">
        <w:rPr>
          <w:lang w:eastAsia="en-GB"/>
        </w:rPr>
        <w:t>alanda yer alan bazı tüketim mallarının güvenlik risklerine dair bir tebliğ yayımlan</w:t>
      </w:r>
      <w:r>
        <w:rPr>
          <w:lang w:eastAsia="en-GB"/>
        </w:rPr>
        <w:t>mış</w:t>
      </w:r>
      <w:r w:rsidRPr="0071284B">
        <w:rPr>
          <w:lang w:eastAsia="en-GB"/>
        </w:rPr>
        <w:t xml:space="preserve"> ve anılan tebliğ ile gerekli minimum güvenlik şartları</w:t>
      </w:r>
      <w:r>
        <w:rPr>
          <w:lang w:eastAsia="en-GB"/>
        </w:rPr>
        <w:t xml:space="preserve"> o</w:t>
      </w:r>
      <w:r w:rsidRPr="0071284B">
        <w:rPr>
          <w:lang w:eastAsia="en-GB"/>
        </w:rPr>
        <w:t>rtaya konul</w:t>
      </w:r>
      <w:r>
        <w:rPr>
          <w:lang w:eastAsia="en-GB"/>
        </w:rPr>
        <w:t>muştur.</w:t>
      </w:r>
      <w:r w:rsidRPr="0071284B">
        <w:rPr>
          <w:lang w:eastAsia="en-GB"/>
        </w:rPr>
        <w:t xml:space="preserve"> </w:t>
      </w:r>
      <w:r>
        <w:rPr>
          <w:lang w:eastAsia="en-GB"/>
        </w:rPr>
        <w:t>Ü</w:t>
      </w:r>
      <w:r w:rsidRPr="0071284B">
        <w:rPr>
          <w:lang w:eastAsia="en-GB"/>
        </w:rPr>
        <w:t>rün kullanımından kaynaklanan kazalara ve yaralanmalara ilişkin veri tabanı oluşturulması yönündeki pilot çalışmalar başlatıl</w:t>
      </w:r>
      <w:r>
        <w:rPr>
          <w:lang w:eastAsia="en-GB"/>
        </w:rPr>
        <w:t>mıştır.</w:t>
      </w:r>
      <w:r w:rsidRPr="0071284B">
        <w:rPr>
          <w:lang w:eastAsia="en-GB"/>
        </w:rPr>
        <w:t xml:space="preserve"> Ekonomi Bakanlığı'na diğer kamu kurumlarından güvenli olmayan ürünlere ilişkin yapılan bildirimler devam etmekte</w:t>
      </w:r>
      <w:r>
        <w:rPr>
          <w:lang w:eastAsia="en-GB"/>
        </w:rPr>
        <w:t xml:space="preserve">dir. </w:t>
      </w:r>
      <w:r w:rsidRPr="0071284B">
        <w:rPr>
          <w:lang w:eastAsia="en-GB"/>
        </w:rPr>
        <w:t>Bununla birlikte, piyasa gözetim ve denetim faaliyetleri sayıca artmış</w:t>
      </w:r>
      <w:r>
        <w:rPr>
          <w:lang w:eastAsia="en-GB"/>
        </w:rPr>
        <w:t xml:space="preserve"> olup,</w:t>
      </w:r>
      <w:r w:rsidRPr="0071284B">
        <w:rPr>
          <w:lang w:eastAsia="en-GB"/>
        </w:rPr>
        <w:t xml:space="preserve"> bu faaliyetlerin gözle görünebilirliği halen düşük düzeyde devam etmekte</w:t>
      </w:r>
      <w:r>
        <w:rPr>
          <w:lang w:eastAsia="en-GB"/>
        </w:rPr>
        <w:t>dir. P</w:t>
      </w:r>
      <w:r w:rsidRPr="0071284B">
        <w:rPr>
          <w:lang w:eastAsia="en-GB"/>
        </w:rPr>
        <w:t xml:space="preserve">iyasa gözetim birimleri içerisinde ve bu birimlerin kendi aralarındaki koordinasyon istenilen seviyede </w:t>
      </w:r>
      <w:r>
        <w:rPr>
          <w:lang w:eastAsia="en-GB"/>
        </w:rPr>
        <w:t>değildir.</w:t>
      </w:r>
      <w:r w:rsidRPr="0071284B">
        <w:rPr>
          <w:lang w:eastAsia="en-GB"/>
        </w:rPr>
        <w:t xml:space="preserve"> </w:t>
      </w:r>
      <w:r>
        <w:rPr>
          <w:lang w:eastAsia="en-GB"/>
        </w:rPr>
        <w:t>R</w:t>
      </w:r>
      <w:r w:rsidRPr="0071284B">
        <w:rPr>
          <w:lang w:eastAsia="en-GB"/>
        </w:rPr>
        <w:t>isk değerlendirmesi nadiren kullanıl</w:t>
      </w:r>
      <w:r>
        <w:rPr>
          <w:lang w:eastAsia="en-GB"/>
        </w:rPr>
        <w:t>makta</w:t>
      </w:r>
      <w:r w:rsidRPr="0071284B">
        <w:rPr>
          <w:lang w:eastAsia="en-GB"/>
        </w:rPr>
        <w:t xml:space="preserve">, bu kurumlara aktarılan finansal ve insan kaynakları yetersiz </w:t>
      </w:r>
      <w:r>
        <w:rPr>
          <w:lang w:eastAsia="en-GB"/>
        </w:rPr>
        <w:t>kalmaktadır. P</w:t>
      </w:r>
      <w:r w:rsidRPr="0071284B">
        <w:rPr>
          <w:lang w:eastAsia="en-GB"/>
        </w:rPr>
        <w:t>iyasa gözetim faaliyetleri</w:t>
      </w:r>
      <w:r>
        <w:rPr>
          <w:lang w:eastAsia="en-GB"/>
        </w:rPr>
        <w:t xml:space="preserve"> </w:t>
      </w:r>
      <w:r w:rsidRPr="0071284B">
        <w:rPr>
          <w:lang w:eastAsia="en-GB"/>
        </w:rPr>
        <w:t>sistematik olarak değerlendirilme</w:t>
      </w:r>
      <w:r>
        <w:rPr>
          <w:lang w:eastAsia="en-GB"/>
        </w:rPr>
        <w:t>mekte</w:t>
      </w:r>
      <w:r w:rsidRPr="0071284B">
        <w:rPr>
          <w:lang w:eastAsia="en-GB"/>
        </w:rPr>
        <w:t xml:space="preserve">, konuya ilişkin paydaşların sürece katılımın düşük </w:t>
      </w:r>
      <w:r>
        <w:rPr>
          <w:lang w:eastAsia="en-GB"/>
        </w:rPr>
        <w:t>seviyede kalmaktadır.</w:t>
      </w:r>
    </w:p>
    <w:p w:rsidR="00D07B09" w:rsidRPr="0071284B" w:rsidRDefault="00D07B09" w:rsidP="00EE0A4A">
      <w:pPr>
        <w:ind w:firstLine="720"/>
        <w:jc w:val="both"/>
        <w:rPr>
          <w:lang w:eastAsia="en-GB"/>
        </w:rPr>
      </w:pPr>
    </w:p>
    <w:p w:rsidR="00D07B09" w:rsidRDefault="00D07B09" w:rsidP="00EE0A4A">
      <w:pPr>
        <w:ind w:firstLine="720"/>
        <w:jc w:val="both"/>
      </w:pPr>
      <w:r w:rsidRPr="0071284B">
        <w:rPr>
          <w:lang w:eastAsia="en-GB"/>
        </w:rPr>
        <w:t>2001 tarihli Genel Ürün Güvenliği Direktifi’ne akreditasyon ve piyasa g</w:t>
      </w:r>
      <w:r>
        <w:rPr>
          <w:lang w:eastAsia="en-GB"/>
        </w:rPr>
        <w:t>özetimi alanındaki düzenlemeler</w:t>
      </w:r>
      <w:r w:rsidRPr="0071284B">
        <w:rPr>
          <w:lang w:eastAsia="en-GB"/>
        </w:rPr>
        <w:t xml:space="preserve"> ile kısmen uyum sağla</w:t>
      </w:r>
      <w:r>
        <w:rPr>
          <w:lang w:eastAsia="en-GB"/>
        </w:rPr>
        <w:t>nmıştır. B</w:t>
      </w:r>
      <w:r w:rsidRPr="0071284B">
        <w:rPr>
          <w:lang w:eastAsia="en-GB"/>
        </w:rPr>
        <w:t>u alanda tam uyum ve piyasa gözetiminde etkili bir uygulama henüz gerçekleştirilme</w:t>
      </w:r>
      <w:r>
        <w:rPr>
          <w:lang w:eastAsia="en-GB"/>
        </w:rPr>
        <w:t xml:space="preserve">miştir. </w:t>
      </w:r>
      <w:r w:rsidRPr="0071284B">
        <w:rPr>
          <w:lang w:eastAsia="en-GB"/>
        </w:rPr>
        <w:t>Buna karşın, Klasik Yaklaşım mevzuatına uyum düzeyi art</w:t>
      </w:r>
      <w:r>
        <w:rPr>
          <w:lang w:eastAsia="en-GB"/>
        </w:rPr>
        <w:t>mış</w:t>
      </w:r>
      <w:r w:rsidRPr="0071284B">
        <w:rPr>
          <w:lang w:eastAsia="en-GB"/>
        </w:rPr>
        <w:t xml:space="preserve">, iki veya üç tekerlekli motorlu araçların fren sistemleri, motorlu araçlar ile tarım ve orman traktörlerinin </w:t>
      </w:r>
      <w:r w:rsidRPr="0071284B">
        <w:t>dizel motorlarından çıkan kirletici emisyonlar</w:t>
      </w:r>
      <w:r w:rsidRPr="0071284B">
        <w:rPr>
          <w:lang w:eastAsia="en-GB"/>
        </w:rPr>
        <w:t xml:space="preserve"> ile </w:t>
      </w:r>
      <w:r w:rsidRPr="0071284B">
        <w:t>Motorlu Araçların Elektromanyetik Uyumluluğu'na ilişkin Tip Onayı Yönetmelikleri kabul edil</w:t>
      </w:r>
      <w:r>
        <w:t>miştir. E</w:t>
      </w:r>
      <w:r w:rsidRPr="0071284B">
        <w:t>nerji verimliliğini artırıcı enerji etiketleme me</w:t>
      </w:r>
      <w:r>
        <w:t>vzuatı</w:t>
      </w:r>
      <w:r w:rsidRPr="0071284B">
        <w:t xml:space="preserve"> hayata geçiril</w:t>
      </w:r>
      <w:r>
        <w:t>miştir.</w:t>
      </w:r>
      <w:r w:rsidRPr="0071284B">
        <w:t xml:space="preserve"> </w:t>
      </w:r>
    </w:p>
    <w:p w:rsidR="00D07B09" w:rsidRPr="0071284B" w:rsidRDefault="00D07B09" w:rsidP="00EE0A4A">
      <w:pPr>
        <w:ind w:firstLine="720"/>
        <w:jc w:val="both"/>
      </w:pPr>
    </w:p>
    <w:p w:rsidR="00D07B09" w:rsidRDefault="00D07B09" w:rsidP="00EE0A4A">
      <w:pPr>
        <w:ind w:firstLine="720"/>
        <w:jc w:val="both"/>
        <w:rPr>
          <w:lang w:eastAsia="en-GB"/>
        </w:rPr>
      </w:pPr>
      <w:r w:rsidRPr="0071284B">
        <w:t>E</w:t>
      </w:r>
      <w:r w:rsidRPr="0071284B">
        <w:rPr>
          <w:lang w:eastAsia="en-GB"/>
        </w:rPr>
        <w:t>czacılık alanında beşeri ilaçların fiyatlan</w:t>
      </w:r>
      <w:r>
        <w:rPr>
          <w:lang w:eastAsia="en-GB"/>
        </w:rPr>
        <w:t>dırılması  alanındaki hükümler</w:t>
      </w:r>
      <w:r w:rsidRPr="0071284B">
        <w:rPr>
          <w:lang w:eastAsia="en-GB"/>
        </w:rPr>
        <w:t xml:space="preserve"> yeniden düzenlen</w:t>
      </w:r>
      <w:r>
        <w:rPr>
          <w:lang w:eastAsia="en-GB"/>
        </w:rPr>
        <w:t>miş</w:t>
      </w:r>
      <w:r w:rsidRPr="0071284B">
        <w:rPr>
          <w:lang w:eastAsia="en-GB"/>
        </w:rPr>
        <w:t>, ilaçların etiketlenmesi ve paketlenme</w:t>
      </w:r>
      <w:r>
        <w:rPr>
          <w:lang w:eastAsia="en-GB"/>
        </w:rPr>
        <w:t>sine dair mevzuat değişikliği</w:t>
      </w:r>
      <w:r w:rsidRPr="0071284B">
        <w:rPr>
          <w:lang w:eastAsia="en-GB"/>
        </w:rPr>
        <w:t xml:space="preserve"> kabul edil</w:t>
      </w:r>
      <w:r>
        <w:rPr>
          <w:lang w:eastAsia="en-GB"/>
        </w:rPr>
        <w:t>miştir.</w:t>
      </w:r>
      <w:r w:rsidRPr="0071284B">
        <w:rPr>
          <w:lang w:eastAsia="en-GB"/>
        </w:rPr>
        <w:t xml:space="preserve"> </w:t>
      </w:r>
      <w:r>
        <w:rPr>
          <w:lang w:eastAsia="en-GB"/>
        </w:rPr>
        <w:t>İ</w:t>
      </w:r>
      <w:r w:rsidRPr="0071284B">
        <w:rPr>
          <w:lang w:eastAsia="en-GB"/>
        </w:rPr>
        <w:t>lgili mevzuatın yürütülmesi, fiyatlama, lisans düzenlemeleri ve beşeri ilaçların takibi ile tıbbi cihazların piyasa gözetimlerinin gerçekleştirilmesi amacıyla Tıbbi Cihazlar ve İlaç Ajansı faaliyete geçiril</w:t>
      </w:r>
      <w:r>
        <w:rPr>
          <w:lang w:eastAsia="en-GB"/>
        </w:rPr>
        <w:t>miştir.</w:t>
      </w:r>
      <w:r w:rsidRPr="0071284B">
        <w:rPr>
          <w:lang w:eastAsia="en-GB"/>
        </w:rPr>
        <w:t xml:space="preserve"> Bununla birlikte, eczacılık ürünlerinde veri imtiyazı alanında 1 Ocak 2005 tarihinden itibaren kayıt edilen eczacılık ürünlerine dair mevzuatta açıklık bulunma</w:t>
      </w:r>
      <w:r>
        <w:rPr>
          <w:lang w:eastAsia="en-GB"/>
        </w:rPr>
        <w:t>maktadır.</w:t>
      </w:r>
      <w:r w:rsidRPr="0071284B">
        <w:rPr>
          <w:lang w:eastAsia="en-GB"/>
        </w:rPr>
        <w:t xml:space="preserve"> GMP sertifikalarının verilmesi işlemlerin</w:t>
      </w:r>
      <w:r>
        <w:rPr>
          <w:lang w:eastAsia="en-GB"/>
        </w:rPr>
        <w:t>de</w:t>
      </w:r>
      <w:r w:rsidRPr="0071284B">
        <w:rPr>
          <w:lang w:eastAsia="en-GB"/>
        </w:rPr>
        <w:t xml:space="preserve"> halen çeşitli güçlükler bulun</w:t>
      </w:r>
      <w:r>
        <w:rPr>
          <w:lang w:eastAsia="en-GB"/>
        </w:rPr>
        <w:t>maktadır.</w:t>
      </w:r>
      <w:r w:rsidRPr="0071284B">
        <w:rPr>
          <w:lang w:eastAsia="en-GB"/>
        </w:rPr>
        <w:t xml:space="preserve">  Ülkemizin veteriner tı</w:t>
      </w:r>
      <w:r>
        <w:rPr>
          <w:lang w:eastAsia="en-GB"/>
        </w:rPr>
        <w:t>bbi ürünler alanındaki mevzuatı</w:t>
      </w:r>
      <w:r w:rsidRPr="0071284B">
        <w:rPr>
          <w:lang w:eastAsia="en-GB"/>
        </w:rPr>
        <w:t xml:space="preserve"> AB müktesebatı ile uyumlu hale getiril</w:t>
      </w:r>
      <w:r>
        <w:rPr>
          <w:lang w:eastAsia="en-GB"/>
        </w:rPr>
        <w:t>miştir.</w:t>
      </w:r>
    </w:p>
    <w:p w:rsidR="00D07B09" w:rsidRPr="0071284B" w:rsidRDefault="00D07B09" w:rsidP="00EE0A4A">
      <w:pPr>
        <w:ind w:firstLine="720"/>
        <w:jc w:val="both"/>
        <w:rPr>
          <w:lang w:eastAsia="en-GB"/>
        </w:rPr>
      </w:pPr>
    </w:p>
    <w:p w:rsidR="00D07B09" w:rsidRDefault="00D07B09" w:rsidP="00EE0A4A">
      <w:pPr>
        <w:ind w:firstLine="720"/>
        <w:jc w:val="both"/>
        <w:rPr>
          <w:rStyle w:val="st1"/>
        </w:rPr>
      </w:pPr>
      <w:r w:rsidRPr="0071284B">
        <w:rPr>
          <w:lang w:eastAsia="en-GB"/>
        </w:rPr>
        <w:t>Ürünlerle ilgili (dikey) Yeni Yaklaşım Direktifleri</w:t>
      </w:r>
      <w:r>
        <w:rPr>
          <w:lang w:eastAsia="en-GB"/>
        </w:rPr>
        <w:t>’</w:t>
      </w:r>
      <w:r w:rsidRPr="0071284B">
        <w:rPr>
          <w:lang w:eastAsia="en-GB"/>
        </w:rPr>
        <w:t>ne uyum ileri düzeyde</w:t>
      </w:r>
      <w:r>
        <w:rPr>
          <w:lang w:eastAsia="en-GB"/>
        </w:rPr>
        <w:t xml:space="preserve"> olup, </w:t>
      </w:r>
      <w:r w:rsidRPr="0071284B">
        <w:rPr>
          <w:lang w:eastAsia="en-GB"/>
        </w:rPr>
        <w:t>bu alanda bazı gelişmeler kaydedil</w:t>
      </w:r>
      <w:r>
        <w:rPr>
          <w:lang w:eastAsia="en-GB"/>
        </w:rPr>
        <w:t>miştir.</w:t>
      </w:r>
      <w:r w:rsidRPr="0071284B">
        <w:rPr>
          <w:lang w:eastAsia="en-GB"/>
        </w:rPr>
        <w:t xml:space="preserve"> Yapı</w:t>
      </w:r>
      <w:r w:rsidRPr="0071284B">
        <w:rPr>
          <w:rStyle w:val="ft"/>
        </w:rPr>
        <w:t xml:space="preserve"> malzemelerinin </w:t>
      </w:r>
      <w:r w:rsidRPr="0071284B">
        <w:rPr>
          <w:rStyle w:val="st1"/>
        </w:rPr>
        <w:t xml:space="preserve">teknik özelliklerine, ulusal ve AB düzeyinde teknik onaylarına, uygunluk onay sistemlerine, </w:t>
      </w:r>
      <w:r w:rsidRPr="0071284B">
        <w:rPr>
          <w:rStyle w:val="ft"/>
        </w:rPr>
        <w:t>yangın karşısındaki</w:t>
      </w:r>
      <w:r w:rsidRPr="0071284B">
        <w:rPr>
          <w:rStyle w:val="st1"/>
        </w:rPr>
        <w:t xml:space="preserve"> davranışlarına ilişkin mevzuat kabul edilmiştir. Kişisel Koruyucu Donanım ekipmanlarına yönelik CE işaretlemesinin kullanımının kolaylaştırılmasına dair bir sınıflandırma rehberi yayımlanmıştır. Uyumlaştırılmış standartlar listesi gözden geçirilmiş ve gezi tekneleri, </w:t>
      </w:r>
      <w:r w:rsidRPr="0071284B">
        <w:t>Radyo ve Telekomünikasyon Terminal Ekipmanları ile</w:t>
      </w:r>
      <w:r w:rsidRPr="0071284B">
        <w:rPr>
          <w:rStyle w:val="st1"/>
        </w:rPr>
        <w:t xml:space="preserve"> Kişisel Koruyucu Donanım ekipmanlarına ilişkin liste yayımlanmıştır. Asansörler konusundaki mevzuatın daha ileri düzeyde uygulanmasını teminen mezkûr ürüne yönelik A tipi onay kuruluşlarına dair tebliğ yayımlanmıştır. Enerji kullanan ürünlerin eko-tasarım şartlarını düzenleyen hükümler hayata geçirilmiştir.</w:t>
      </w:r>
    </w:p>
    <w:p w:rsidR="00D07B09" w:rsidRPr="0071284B" w:rsidRDefault="00D07B09" w:rsidP="00EE0A4A">
      <w:pPr>
        <w:ind w:firstLine="720"/>
        <w:jc w:val="both"/>
        <w:rPr>
          <w:rStyle w:val="st1"/>
        </w:rPr>
      </w:pPr>
    </w:p>
    <w:p w:rsidR="00D07B09" w:rsidRDefault="00D07B09" w:rsidP="00EE0A4A">
      <w:pPr>
        <w:ind w:firstLine="720"/>
        <w:jc w:val="both"/>
        <w:rPr>
          <w:lang w:eastAsia="en-GB"/>
        </w:rPr>
      </w:pPr>
      <w:r w:rsidRPr="0071284B">
        <w:rPr>
          <w:lang w:eastAsia="en-GB"/>
        </w:rPr>
        <w:t> Usule ilişkin olarak kurallar alanında sınırlı bazı ilerlemeler</w:t>
      </w:r>
      <w:r>
        <w:rPr>
          <w:lang w:eastAsia="en-GB"/>
        </w:rPr>
        <w:t xml:space="preserve"> kaydedilmiştir.</w:t>
      </w:r>
      <w:r w:rsidRPr="0071284B">
        <w:rPr>
          <w:lang w:eastAsia="en-GB"/>
        </w:rPr>
        <w:t xml:space="preserve"> Bu alandaki müktesebat kısmen yürürlüğe konul</w:t>
      </w:r>
      <w:r>
        <w:rPr>
          <w:lang w:eastAsia="en-GB"/>
        </w:rPr>
        <w:t>muş</w:t>
      </w:r>
      <w:r w:rsidRPr="0071284B">
        <w:rPr>
          <w:lang w:eastAsia="en-GB"/>
        </w:rPr>
        <w:t>, kültürel ürünlerde ve ateşli silahlarda bir ilerleme kaydedilme</w:t>
      </w:r>
      <w:r>
        <w:rPr>
          <w:lang w:eastAsia="en-GB"/>
        </w:rPr>
        <w:t>miştir.</w:t>
      </w:r>
    </w:p>
    <w:p w:rsidR="00D07B09" w:rsidRPr="0071284B" w:rsidRDefault="00D07B09" w:rsidP="00EE0A4A">
      <w:pPr>
        <w:ind w:firstLine="720"/>
        <w:jc w:val="both"/>
        <w:rPr>
          <w:lang w:eastAsia="en-GB"/>
        </w:rPr>
      </w:pPr>
    </w:p>
    <w:p w:rsidR="00D07B09" w:rsidRPr="0071284B" w:rsidRDefault="00D07B09" w:rsidP="00EE0A4A">
      <w:pPr>
        <w:ind w:firstLine="720"/>
        <w:jc w:val="both"/>
      </w:pPr>
      <w:r>
        <w:t>Sonuç olarak,</w:t>
      </w:r>
      <w:r w:rsidRPr="0071284B">
        <w:rPr>
          <w:i/>
          <w:iCs/>
          <w:lang w:eastAsia="en-GB"/>
        </w:rPr>
        <w:t> </w:t>
      </w:r>
      <w:r w:rsidRPr="0071284B">
        <w:t>Malların Serbest Dolaşımı başlığın</w:t>
      </w:r>
      <w:r>
        <w:t xml:space="preserve">daki </w:t>
      </w:r>
      <w:r w:rsidRPr="0071284B">
        <w:t>mevzuat uyumu ileri düzeyde</w:t>
      </w:r>
      <w:r>
        <w:t>dir. Öte yandan,</w:t>
      </w:r>
      <w:r w:rsidRPr="0071284B">
        <w:rPr>
          <w:lang w:eastAsia="en-GB"/>
        </w:rPr>
        <w:t xml:space="preserve"> ticarette teknik engeller Türkiye’nin Gümrük Birliği mükellefiyetlerine aykırı bir şekilde malların serbest dolaşımını hala engellemekte</w:t>
      </w:r>
      <w:r>
        <w:rPr>
          <w:lang w:eastAsia="en-GB"/>
        </w:rPr>
        <w:t>dir.</w:t>
      </w:r>
      <w:r w:rsidRPr="0071284B">
        <w:rPr>
          <w:lang w:eastAsia="en-GB"/>
        </w:rPr>
        <w:t xml:space="preserve"> GMP Sertifikalarının yayımlanmasındaki gecikmeler ile eczacılık ürünlerindeki veri imtiyazı sorunu halen çözümleneme</w:t>
      </w:r>
      <w:r>
        <w:rPr>
          <w:lang w:eastAsia="en-GB"/>
        </w:rPr>
        <w:t xml:space="preserve">miştir. </w:t>
      </w:r>
      <w:r w:rsidRPr="0071284B">
        <w:rPr>
          <w:lang w:eastAsia="en-GB"/>
        </w:rPr>
        <w:t>Diğer taraftan, kalan ithal ve ihraç lisanları ile ikinci el ürünler üzerindeki ithal kısıtlamalarını</w:t>
      </w:r>
      <w:r>
        <w:rPr>
          <w:lang w:eastAsia="en-GB"/>
        </w:rPr>
        <w:t>n</w:t>
      </w:r>
      <w:r w:rsidRPr="0071284B">
        <w:rPr>
          <w:lang w:eastAsia="en-GB"/>
        </w:rPr>
        <w:t xml:space="preserve"> kaldır</w:t>
      </w:r>
      <w:r>
        <w:rPr>
          <w:lang w:eastAsia="en-GB"/>
        </w:rPr>
        <w:t>ıl</w:t>
      </w:r>
      <w:r w:rsidRPr="0071284B">
        <w:rPr>
          <w:lang w:eastAsia="en-GB"/>
        </w:rPr>
        <w:t>ması gerek</w:t>
      </w:r>
      <w:r>
        <w:rPr>
          <w:lang w:eastAsia="en-GB"/>
        </w:rPr>
        <w:t>mektedir.</w:t>
      </w:r>
    </w:p>
    <w:p w:rsidR="00D07B09" w:rsidRPr="0071284B" w:rsidRDefault="00D07B09" w:rsidP="00EE0A4A">
      <w:pPr>
        <w:ind w:firstLine="720"/>
        <w:jc w:val="both"/>
        <w:rPr>
          <w:b/>
          <w:bCs/>
        </w:rPr>
      </w:pPr>
    </w:p>
    <w:p w:rsidR="00D07B09" w:rsidRPr="0071284B" w:rsidRDefault="00D07B09" w:rsidP="00EE0A4A">
      <w:pPr>
        <w:rPr>
          <w:b/>
          <w:bCs/>
        </w:rPr>
      </w:pPr>
      <w:r w:rsidRPr="0071284B">
        <w:rPr>
          <w:b/>
          <w:bCs/>
        </w:rPr>
        <w:t xml:space="preserve">Fasıl 2: </w:t>
      </w:r>
      <w:hyperlink r:id="rId8" w:history="1">
        <w:r w:rsidRPr="0071284B">
          <w:rPr>
            <w:b/>
            <w:bCs/>
          </w:rPr>
          <w:t>İşçilerin Serbest Dolaşımı</w:t>
        </w:r>
      </w:hyperlink>
      <w:r w:rsidRPr="0071284B">
        <w:rPr>
          <w:b/>
          <w:bCs/>
        </w:rPr>
        <w:t xml:space="preserve"> </w:t>
      </w:r>
      <w:r w:rsidRPr="0071284B">
        <w:rPr>
          <w:b/>
          <w:bCs/>
        </w:rPr>
        <w:br/>
      </w:r>
    </w:p>
    <w:p w:rsidR="00D07B09" w:rsidRPr="0071284B" w:rsidRDefault="00D07B09" w:rsidP="00EE0A4A">
      <w:pPr>
        <w:ind w:firstLine="708"/>
        <w:jc w:val="both"/>
      </w:pPr>
      <w:r w:rsidRPr="0071284B">
        <w:t>İşgücü piyasasına erişim alanında ilerleme kaydedilmemiştir. Gelecekte Avrupa İstihdam Hizmetleri Ağı’na (European Employment Services – EURES) katılım konusunda ilerleme kaydedilmiştir. Türkiye İş Kurumu (Turkish Employment Agency – ISKUR) bilgi teknolojileri altyapısını ve kapasitesini geliştirmiştir.</w:t>
      </w:r>
    </w:p>
    <w:p w:rsidR="00D07B09" w:rsidRPr="0071284B" w:rsidRDefault="00D07B09" w:rsidP="00EE0A4A">
      <w:pPr>
        <w:jc w:val="both"/>
      </w:pPr>
    </w:p>
    <w:p w:rsidR="00D07B09" w:rsidRPr="0071284B" w:rsidRDefault="00D07B09" w:rsidP="00EE0A4A">
      <w:pPr>
        <w:ind w:firstLine="708"/>
        <w:jc w:val="both"/>
      </w:pPr>
      <w:r w:rsidRPr="0071284B">
        <w:t>Sosyal güvenlik sistemlerinin koordinasyonunda bazı ilerlemeler görülmüştür. Sosyal Güvenlik Kurumu’nun kapasitesini artırmaya yönelik çalışmalar devam etmiştir. Avrupa Sağlık Sigortası Kartı konusunda herhangi bir gelişme kaydedilmemiştir.</w:t>
      </w:r>
    </w:p>
    <w:p w:rsidR="00D07B09" w:rsidRPr="0071284B" w:rsidRDefault="00D07B09" w:rsidP="00EE0A4A">
      <w:pPr>
        <w:jc w:val="both"/>
      </w:pPr>
    </w:p>
    <w:p w:rsidR="00D07B09" w:rsidRPr="0071284B" w:rsidRDefault="00D07B09" w:rsidP="00EE0A4A">
      <w:pPr>
        <w:ind w:firstLine="708"/>
        <w:jc w:val="both"/>
      </w:pPr>
      <w:r w:rsidRPr="0071284B">
        <w:t>Sonuç olarak; İşçilerin Serbest Dolaşımı faslında, çok az ilerleme kaydedilmiştir. Türkiye, EURES’e katılımı ve sosyal güvenlik sistemlerinin koordinasyonundan dolayı, kapasitesini artırmıştır. Bu alandaki hazırlıklar başlamıştır.</w:t>
      </w:r>
    </w:p>
    <w:p w:rsidR="00D07B09" w:rsidRPr="0071284B" w:rsidRDefault="00D07B09" w:rsidP="00EE0A4A">
      <w:pPr>
        <w:rPr>
          <w:b/>
          <w:bCs/>
        </w:rPr>
      </w:pPr>
    </w:p>
    <w:p w:rsidR="00D07B09" w:rsidRPr="0071284B" w:rsidRDefault="00D07B09" w:rsidP="00EE0A4A">
      <w:pPr>
        <w:rPr>
          <w:b/>
          <w:bCs/>
        </w:rPr>
      </w:pPr>
      <w:r w:rsidRPr="0071284B">
        <w:rPr>
          <w:b/>
          <w:bCs/>
        </w:rPr>
        <w:t xml:space="preserve">Fasıl 3: </w:t>
      </w:r>
      <w:hyperlink r:id="rId9" w:history="1">
        <w:r w:rsidRPr="0071284B">
          <w:rPr>
            <w:b/>
            <w:bCs/>
          </w:rPr>
          <w:t>İş Kurma Hakkı ve Hizmet Sunumu Serbestisi</w:t>
        </w:r>
      </w:hyperlink>
      <w:r w:rsidRPr="0071284B">
        <w:rPr>
          <w:b/>
          <w:bCs/>
        </w:rPr>
        <w:t xml:space="preserve"> </w:t>
      </w:r>
      <w:r w:rsidRPr="0071284B">
        <w:rPr>
          <w:b/>
          <w:bCs/>
        </w:rPr>
        <w:br/>
      </w:r>
    </w:p>
    <w:p w:rsidR="00D07B09" w:rsidRPr="0071284B" w:rsidRDefault="00D07B09" w:rsidP="00EE0A4A">
      <w:pPr>
        <w:ind w:firstLine="708"/>
        <w:jc w:val="both"/>
      </w:pPr>
      <w:r w:rsidRPr="0071284B">
        <w:t>İş kurma hakkı ve sınır ötesi hizmet sunma serbestisi konusunda ilerleme kaydedilmemiştir. Kapsamlı bir uyum stratejisi çalışması yapılmamıştır. İş kurma hakkı alanında, orantısız koşullar mevcuttur. Bununla birlikte, sınır ötesi hizmet sunma serbestisi alanında da ilerleme kaydedilmemiştir. AB ülkelerinde yerleşik hizmet sunucularına,  Türkiye’de çalışma ve oturma izni verilmesi, hala kayıt, lisans veya izin koşullarına bağlıdır. Yeni aykırı koşulların getirilmesini önleyecek bir mekanizma bulunmamaktadır. Hizmetler Direktifi’ne (</w:t>
      </w:r>
      <w:r w:rsidRPr="00C801BA">
        <w:rPr>
          <w:i/>
          <w:iCs/>
        </w:rPr>
        <w:t>Services Directive</w:t>
      </w:r>
      <w:r w:rsidRPr="0071284B">
        <w:t>) henüz uyum çalışması yapılmamıştır ve bir Tek Başvuru Noktası (</w:t>
      </w:r>
      <w:r w:rsidRPr="00C801BA">
        <w:rPr>
          <w:i/>
          <w:iCs/>
        </w:rPr>
        <w:t>Point of Single Contact</w:t>
      </w:r>
      <w:r w:rsidRPr="0071284B">
        <w:t>) bulunmamaktadır.</w:t>
      </w:r>
    </w:p>
    <w:p w:rsidR="00D07B09" w:rsidRPr="0071284B" w:rsidRDefault="00D07B09" w:rsidP="00EE0A4A">
      <w:pPr>
        <w:jc w:val="both"/>
      </w:pPr>
    </w:p>
    <w:p w:rsidR="00D07B09" w:rsidRPr="0071284B" w:rsidRDefault="00D07B09" w:rsidP="00EE0A4A">
      <w:pPr>
        <w:ind w:firstLine="708"/>
        <w:jc w:val="both"/>
      </w:pPr>
      <w:r w:rsidRPr="0071284B">
        <w:t>Posta hizmetleri alanında ilerleme kaydedilmemiştir. Posta Kanunu taslağının yasalaştırılması gerekmektedir. Yasal tekel mevcudiyetini sürdürmektedir. Müktesebata uyum konusunda, pazarın aşamalı olarak açılması öngörülmektedir. İdare kapasite konusunda, yasal ve operasyonel faaliyetleri ayıracak bağımsız bir düzenleyici otoritenin kurulmasına ihtiyaç duyulmaktadır.</w:t>
      </w:r>
    </w:p>
    <w:p w:rsidR="00D07B09" w:rsidRPr="0071284B" w:rsidRDefault="00D07B09" w:rsidP="00EE0A4A">
      <w:pPr>
        <w:jc w:val="both"/>
      </w:pPr>
    </w:p>
    <w:p w:rsidR="00D07B09" w:rsidRPr="0071284B" w:rsidRDefault="00D07B09" w:rsidP="00EE0A4A">
      <w:pPr>
        <w:ind w:firstLine="708"/>
        <w:jc w:val="both"/>
      </w:pPr>
      <w:r w:rsidRPr="0071284B">
        <w:t>Mesleki yeterliliklerin karşılıklı tanınması konusunda çok az ilerleme kaydedilmiştir. Özel hastanelerde yabancı uyruklu doktor ve hemşireler için kısıtlayıcı çalışma koşullarını ortadan kaldıran kanun hükmünde kararname yürürlüktedir. Diğer taraftan, özel sektörde hala vatandaşlık şartının yanı sıra; Türkçe dil yeterliliği, oturum izni, diploma ve uzmanlık denklik belgesi şartları uygulanmaktadır. Mesleki yeterliliklerin tanınması akademik yeterliliklerin tanınmasından ayrılmamıştır. Bazı düzenlenmiş meslekler hala karşılıklı tanımaya tabidir. Vatandaşlık ve dil koşulları da mevcuttur.</w:t>
      </w:r>
    </w:p>
    <w:p w:rsidR="00D07B09" w:rsidRPr="0071284B" w:rsidRDefault="00D07B09" w:rsidP="00EE0A4A">
      <w:pPr>
        <w:jc w:val="both"/>
      </w:pPr>
    </w:p>
    <w:p w:rsidR="00D07B09" w:rsidRPr="0071284B" w:rsidRDefault="00D07B09" w:rsidP="00EE0A4A">
      <w:pPr>
        <w:ind w:firstLine="708"/>
        <w:jc w:val="both"/>
      </w:pPr>
      <w:r w:rsidRPr="0071284B">
        <w:t>Sonuç olarak; özel hastanelerde yabancı uyruklu doktor ve hemşireler için kısıtlayıcı çalışma koşullarını ortadan kaldırılmasının dışında, bu fasılda ilerleme kaydedilmemiştir ve uyum erken aşamadadır.</w:t>
      </w:r>
    </w:p>
    <w:p w:rsidR="00D07B09" w:rsidRPr="0071284B" w:rsidRDefault="00D07B09" w:rsidP="00EE0A4A">
      <w:pPr>
        <w:autoSpaceDE w:val="0"/>
        <w:autoSpaceDN w:val="0"/>
        <w:adjustRightInd w:val="0"/>
        <w:jc w:val="both"/>
      </w:pPr>
    </w:p>
    <w:p w:rsidR="00D07B09" w:rsidRPr="0071284B" w:rsidRDefault="00D07B09" w:rsidP="00EE0A4A">
      <w:pPr>
        <w:rPr>
          <w:b/>
          <w:bCs/>
        </w:rPr>
      </w:pPr>
      <w:r w:rsidRPr="0071284B">
        <w:rPr>
          <w:b/>
          <w:bCs/>
        </w:rPr>
        <w:t xml:space="preserve">Fasıl 4: </w:t>
      </w:r>
      <w:hyperlink r:id="rId10" w:history="1">
        <w:r w:rsidRPr="0071284B">
          <w:rPr>
            <w:b/>
            <w:bCs/>
          </w:rPr>
          <w:t>Sermayenin Serbest Dolaşımı</w:t>
        </w:r>
      </w:hyperlink>
      <w:r w:rsidRPr="0071284B">
        <w:rPr>
          <w:b/>
          <w:bCs/>
        </w:rPr>
        <w:t xml:space="preserve"> </w:t>
      </w:r>
      <w:r w:rsidRPr="0071284B">
        <w:rPr>
          <w:b/>
          <w:bCs/>
        </w:rPr>
        <w:br/>
      </w:r>
    </w:p>
    <w:p w:rsidR="00D07B09" w:rsidRPr="0071284B" w:rsidRDefault="00D07B09" w:rsidP="00EE0A4A">
      <w:pPr>
        <w:ind w:firstLine="708"/>
        <w:jc w:val="both"/>
      </w:pPr>
      <w:r w:rsidRPr="0071284B">
        <w:t>Sermaye hareketleri ve ödemeler konusunda ilerleme kaydedilmemiştir. Türkiye’de yabancıların taşınmaz mülkiyeti edinimi üzerindeki yasal kısıtlamaların kaldırılmasının potansiyel etkilerini değerlendirme çalışması devam etmektedir. Şahıslar için mütekabiliyet ilkesi kaldırılmıştır. Ulusal çıkarlar ve ikili ilişkiler dikkate alınarak, bu konuda uygun şartlara sahip olan ülkelerin sayısı 183’e çıkartılmıştır. Umumi olmayan uygunluk listesinde; İstanbul ve sahil bölgelerinde, Yunan vatandaşları; Türkiye-Bulgaristan sınır bölgelerinde Bulgar vatandaşları ve GKRY vatandaşları için uygulanan kısıtlamalar devam etmektedir. Türkiye’nin hukuki çerçevesi, AB’nin İşleyişi Hakkında Antlaşma’nın (TFEU) 63. maddesiyle uyumlu değildir. Türkiye’nin, yabancıların taşınmaz mülkiyet edinimi için, AB müktesebatına uygun bir şekilde kademeli bir serbestleştirmeye yönelik bir eylem planı sunması ve serbestleştirme yönünde ilerleme sağladığını göstermesine ihtiyaç duyulmaktadır.</w:t>
      </w:r>
    </w:p>
    <w:p w:rsidR="00D07B09" w:rsidRPr="0071284B" w:rsidRDefault="00D07B09" w:rsidP="00EE0A4A">
      <w:pPr>
        <w:jc w:val="both"/>
      </w:pPr>
    </w:p>
    <w:p w:rsidR="00D07B09" w:rsidRPr="0071284B" w:rsidRDefault="00D07B09" w:rsidP="00EE0A4A">
      <w:pPr>
        <w:ind w:firstLine="708"/>
        <w:jc w:val="both"/>
      </w:pPr>
      <w:r w:rsidRPr="0071284B">
        <w:t>Radyo ve televizyon yayıncılığı, taşımacılık, eğitim, elektrik dağıtım ve üretim varlıklarının özelleştirilmesi gibi diğer konularda yabancı sermaye payı üzerindeki kısıtlamalar devam etmektedir. Sermaye hareketleri ve ödemelere ilişkin mevcut hukuki çerçevenin AB müktesebatıyla uyumlu hale getirilmesi için önemli çabalara ihtiyaç vardır. Ödeme sistemleri konusunda ilerleme kaydedilmemiştir.</w:t>
      </w:r>
    </w:p>
    <w:p w:rsidR="00D07B09" w:rsidRPr="0071284B" w:rsidRDefault="00D07B09" w:rsidP="00EE0A4A">
      <w:pPr>
        <w:jc w:val="both"/>
      </w:pPr>
    </w:p>
    <w:p w:rsidR="00D07B09" w:rsidRPr="0071284B" w:rsidRDefault="00D07B09" w:rsidP="00EE0A4A">
      <w:pPr>
        <w:ind w:firstLine="708"/>
        <w:jc w:val="both"/>
      </w:pPr>
      <w:r w:rsidRPr="0071284B">
        <w:t xml:space="preserve">Kara paranın aklanması ile mücadele konusunda AB müktesebatıyla uyum sağlanması yönünde sınırlı ilerleme kaydedilmiştir. Terörizmin finansmanıyla mücadele için Parlamento’ya sunulan yasa tasarısı, henüz kabul edilmemiştir. Bu nedenle, Mali Eylem Görev Gücü (FATF), </w:t>
      </w:r>
      <w:r>
        <w:t xml:space="preserve">Türkiye’yi Kara Para Aklama ve </w:t>
      </w:r>
      <w:r w:rsidRPr="0071284B">
        <w:t>Terörizmin Finanse Edilmesiyle Mücadele (</w:t>
      </w:r>
      <w:r w:rsidRPr="00C801BA">
        <w:rPr>
          <w:i/>
          <w:iCs/>
        </w:rPr>
        <w:t>Anti-Money Laundering/Combatting the Financing of Terrorism</w:t>
      </w:r>
      <w:r w:rsidRPr="0071284B">
        <w:t xml:space="preserve"> – AML/CFT) kara listesinde tutmaktadır. Terörizmin finansmanının tatmin edici bir şekilde suç olarak kabul edilmemesi ve teröristlerin malvarlığının tespit edilmesi ve dondurulmasına ilişkin yeterli bir yasal çerçevenin uygulanmaması, Türkiye’nin stratejik eksiklikleri olarak görülmektedir. FATF, Haziran 2012’de yaptığı açıklamada, Türkiye’nin stratejik eksikliklerini gidermesi için siyasi çabalarına rağmen, eylem planın</w:t>
      </w:r>
      <w:r>
        <w:t>ın</w:t>
      </w:r>
      <w:r w:rsidRPr="0071284B">
        <w:t xml:space="preserve"> uygulanmasında eksik kaldığı ve belirli stratejik CFT alanlarda eksikliklerin devam ettiği vurgulanmaktadır. FTAF, Türkiye’nin söz konusu eksiklikleri gidermesi için ısrar etmektedir. Türkiye’den Ekim 2012 tarihine kadar kayda değer bir eylem görülmediği takdirde, üyeleri tarafından karşı tedbirler alınması beklenmektedir.</w:t>
      </w:r>
    </w:p>
    <w:p w:rsidR="00D07B09" w:rsidRPr="0071284B" w:rsidRDefault="00D07B09" w:rsidP="00EE0A4A">
      <w:pPr>
        <w:jc w:val="both"/>
      </w:pPr>
    </w:p>
    <w:p w:rsidR="00D07B09" w:rsidRPr="0071284B" w:rsidRDefault="00D07B09" w:rsidP="00EE0A4A">
      <w:pPr>
        <w:ind w:firstLine="708"/>
        <w:jc w:val="both"/>
      </w:pPr>
      <w:r w:rsidRPr="0071284B">
        <w:t>2011 yılında, Türk mali istihbarat birimi olarak görev yapan Mali Suçları Araştırma Kurulu (</w:t>
      </w:r>
      <w:r w:rsidRPr="00C801BA">
        <w:rPr>
          <w:i/>
          <w:iCs/>
        </w:rPr>
        <w:t>Financial Crimes Investigation Board</w:t>
      </w:r>
      <w:r w:rsidRPr="0071284B">
        <w:t xml:space="preserve"> – MASAK), altı ülkeyle (Ürdün, Lüksemburg, Senegal, Birleşik Krallık, Kanada ve Belarus) bilgi değişimi konusunda mutabakat zabıtları imzalamıştır. MASAK, 2012 yılında, ABD, Belçika, Hollanda, Polonya, Malezya ve Kosova ile de mutabakat zabıtları imzalamıştır.</w:t>
      </w:r>
    </w:p>
    <w:p w:rsidR="00D07B09" w:rsidRPr="0071284B" w:rsidRDefault="00D07B09" w:rsidP="00EE0A4A">
      <w:pPr>
        <w:jc w:val="both"/>
      </w:pPr>
    </w:p>
    <w:p w:rsidR="00D07B09" w:rsidRPr="0071284B" w:rsidRDefault="00D07B09" w:rsidP="00EE0A4A">
      <w:pPr>
        <w:ind w:firstLine="708"/>
        <w:jc w:val="both"/>
      </w:pPr>
      <w:r w:rsidRPr="0071284B">
        <w:t>Çoğunlukla bankacılık sektöründen gelen şüpheli işlem bildirimi sayısında artış görülmektedir.</w:t>
      </w:r>
    </w:p>
    <w:p w:rsidR="00D07B09" w:rsidRPr="0071284B" w:rsidRDefault="00D07B09" w:rsidP="00EE0A4A">
      <w:pPr>
        <w:jc w:val="both"/>
      </w:pPr>
    </w:p>
    <w:p w:rsidR="00D07B09" w:rsidRPr="0071284B" w:rsidRDefault="00D07B09" w:rsidP="00EE0A4A">
      <w:pPr>
        <w:ind w:firstLine="708"/>
        <w:jc w:val="both"/>
      </w:pPr>
      <w:r w:rsidRPr="0071284B">
        <w:t>MASAK; denetim elemanları, hâkimler, savcılar ve ilgili kişilere eğitim vermeye devam etmiştir. Türkiye, Suç Gelirlerinin Aklanması, Araştırılması, El Konması ve Müsaderesi ile Terörizmin Finansmanı Hakkındaki Avrupa Konseyi Sözleşmesi</w:t>
      </w:r>
      <w:r>
        <w:t>’</w:t>
      </w:r>
      <w:r w:rsidRPr="0071284B">
        <w:t>ni (CETS 198), 2007’de imzalamış olmasına rağmen henüz onaylamamıştır.</w:t>
      </w:r>
    </w:p>
    <w:p w:rsidR="00D07B09" w:rsidRPr="0071284B" w:rsidRDefault="00D07B09" w:rsidP="00EE0A4A">
      <w:pPr>
        <w:jc w:val="both"/>
      </w:pPr>
    </w:p>
    <w:p w:rsidR="00D07B09" w:rsidRPr="0071284B" w:rsidRDefault="00D07B09" w:rsidP="00C801BA">
      <w:pPr>
        <w:ind w:firstLine="708"/>
        <w:jc w:val="both"/>
      </w:pPr>
      <w:r w:rsidRPr="0071284B">
        <w:t>Haziran 2012’de Parlamento tarafından, Özel Yetki Mahkemeleri kaldırılmış, yerlerine Terörle Mücadele Kanunu kapsamında Bölge Ağır Ceza Mahkemeleri kurulmuştur.</w:t>
      </w:r>
    </w:p>
    <w:p w:rsidR="00D07B09" w:rsidRPr="0071284B" w:rsidRDefault="00D07B09" w:rsidP="00EE0A4A">
      <w:pPr>
        <w:jc w:val="both"/>
      </w:pPr>
    </w:p>
    <w:p w:rsidR="00D07B09" w:rsidRPr="0071284B" w:rsidRDefault="00D07B09" w:rsidP="00EE0A4A">
      <w:pPr>
        <w:ind w:firstLine="708"/>
        <w:jc w:val="both"/>
      </w:pPr>
      <w:r w:rsidRPr="0071284B">
        <w:t>Sonuç olarak; sermayenin serbest dolaşımı konusunda kısıtlı ilerleme kaydedilmiştir. AB kaynaklı doğrudan yatırımlar üzerindeki kısıtlamalar da dahil olmak üzere, bir dizi sektörde sermaye hareketleri üzerindeki kısıtlamalar devam etmektedir. Kara paranın aklanması ve terörizmin finansmanı ile mücadele konusunda uygulama kapasitesinin önemli ölçüde geliştirilmesi gerekmektedir. Terörizmin finansmanının önlenmesine ilişkin yasal çerçeve henüz tamamlanmamıştır ve bu alandaki AB müktesebatına uyum sağlanması yönünde daha fazla çaba sarf edilmesi gerekmektedir. Bu fasılda ilerleme erken aşamadadır.</w:t>
      </w:r>
    </w:p>
    <w:p w:rsidR="00D07B09" w:rsidRPr="0071284B" w:rsidRDefault="00D07B09" w:rsidP="00EE0A4A"/>
    <w:p w:rsidR="00D07B09" w:rsidRPr="0071284B" w:rsidRDefault="00D07B09" w:rsidP="00EE0A4A">
      <w:pPr>
        <w:rPr>
          <w:b/>
          <w:bCs/>
        </w:rPr>
      </w:pPr>
      <w:r w:rsidRPr="0071284B">
        <w:rPr>
          <w:b/>
          <w:bCs/>
        </w:rPr>
        <w:t xml:space="preserve">Fasıl 5: </w:t>
      </w:r>
      <w:hyperlink r:id="rId11" w:history="1">
        <w:r w:rsidRPr="0071284B">
          <w:rPr>
            <w:b/>
            <w:bCs/>
          </w:rPr>
          <w:t>Kamu Alımları</w:t>
        </w:r>
      </w:hyperlink>
      <w:r w:rsidRPr="0071284B">
        <w:rPr>
          <w:b/>
          <w:bCs/>
        </w:rPr>
        <w:t xml:space="preserve"> </w:t>
      </w:r>
      <w:r w:rsidRPr="0071284B">
        <w:rPr>
          <w:b/>
          <w:bCs/>
        </w:rPr>
        <w:br/>
      </w:r>
    </w:p>
    <w:p w:rsidR="00D07B09" w:rsidRPr="0071284B" w:rsidRDefault="00D07B09" w:rsidP="00EE0A4A">
      <w:pPr>
        <w:ind w:firstLine="708"/>
        <w:jc w:val="both"/>
      </w:pPr>
      <w:r w:rsidRPr="0071284B">
        <w:t>Genel ilkelere yönelik olarak herhangi bir ilerleme kaydedilmemiştir. Yasal çerçevede kayda değer bir değişiklik bulunmamaktadır. İki yıldan bu yana taslak halde bulunan Kamu Alımları için Ulusal Strateji ve Eylem Planı halen kabul edilmemiştir. Yerli ürün lehine % 15 fiyat avantajının kullanımı 2011 yılında eşik değerin üzerindeki ihalelerin toplam değerinin % 40’ına ulaşarak belirgin ölçüde artmıştır. Yasal düzenlemenin tutarlılığının sağlanmasını teminen Kamu İhale Kanunu’nun kapsamının AB müktesebatıyla uyumlu hale getirilmesi gerekmektedir.</w:t>
      </w:r>
    </w:p>
    <w:p w:rsidR="00D07B09" w:rsidRPr="0071284B" w:rsidRDefault="00D07B09" w:rsidP="00EE0A4A">
      <w:pPr>
        <w:jc w:val="both"/>
      </w:pPr>
    </w:p>
    <w:p w:rsidR="00D07B09" w:rsidRPr="0071284B" w:rsidRDefault="00D07B09" w:rsidP="00EE0A4A">
      <w:pPr>
        <w:ind w:firstLine="708"/>
        <w:jc w:val="both"/>
      </w:pPr>
      <w:r w:rsidRPr="0071284B">
        <w:t xml:space="preserve">İhalelerin sonuçlandırılmasıyla ilgili olarak bazı ilerlemeler kaydedilmiştir. Kamu İhale Kurumu (KİK) Elektronik Kamu Alımları Platformu’nu (EKAP) daha da geliştirmiştir. Ankara’da bulunan bir üniversitede “e-ihale” Araştırma ve Geliştirme Merkezi kurulmuştur. EKAP çağrı merkezi idarelere danışmanlık hizmeti sağlamaya devam etmekte olup, KİK tarafından aktif bir biçimde eğitimler düzenlenmiştir. KİK aynı zamanda önemli Türk üniversiteleriyle yapılan işbirliği anlaşmaları vasıtasıyla eğitimler için profesyonel destek almıştır. Kamu alımları alanındaki eğitimlerin kapsamının geliştirilmesine ihtiyaç duyulmaktadır. </w:t>
      </w:r>
    </w:p>
    <w:p w:rsidR="00D07B09" w:rsidRPr="0071284B" w:rsidRDefault="00D07B09" w:rsidP="00EE0A4A">
      <w:pPr>
        <w:jc w:val="both"/>
      </w:pPr>
    </w:p>
    <w:p w:rsidR="00D07B09" w:rsidRPr="0071284B" w:rsidRDefault="00D07B09" w:rsidP="00EE0A4A">
      <w:pPr>
        <w:ind w:firstLine="708"/>
        <w:jc w:val="both"/>
      </w:pPr>
      <w:r w:rsidRPr="0071284B">
        <w:t>Politika oluşturma ve uygulamanın koordinasyonundan sorumlu birim olan Maliye Bakanlığı idari kapasitesindeki yetersizlik sorununun üzerine gitmiştir. Sorumlu diğer kurumlar olan KİK ve Kalkınma Bakanlığı da işlevlerini yürütmek için yeterli kapasiteye sahiptir.</w:t>
      </w:r>
    </w:p>
    <w:p w:rsidR="00D07B09" w:rsidRPr="0071284B" w:rsidRDefault="00D07B09" w:rsidP="00EE0A4A">
      <w:pPr>
        <w:jc w:val="both"/>
      </w:pPr>
    </w:p>
    <w:p w:rsidR="00D07B09" w:rsidRPr="0071284B" w:rsidRDefault="00D07B09" w:rsidP="00EE0A4A">
      <w:pPr>
        <w:ind w:firstLine="708"/>
        <w:jc w:val="both"/>
      </w:pPr>
      <w:r w:rsidRPr="0071284B">
        <w:t xml:space="preserve">Türkiye’nin kamu ihale mevzuatı, başta su, ulaştırma, enerji ve posta sektörlerindeki ihaleler, kamu-özel ortaklıkları ve imtiyazlar olmak üzere çeşitli açılardan AB müktesebatıyla uyumlu değildir. Müktesebatla tam uyum için önemli aşamaları ortaya koyan taslak stratejinin kabul edilmesi gerekmektedir. Kamu ihalelerine ilişkin denetim ve gözden geçirme direktiflerinin de müktesebatla uyumunun sağlanması gerekmektedir. </w:t>
      </w:r>
    </w:p>
    <w:p w:rsidR="00D07B09" w:rsidRPr="0071284B" w:rsidRDefault="00D07B09" w:rsidP="00EE0A4A"/>
    <w:p w:rsidR="00D07B09" w:rsidRPr="0071284B" w:rsidRDefault="00D07B09" w:rsidP="00EE0A4A">
      <w:pPr>
        <w:rPr>
          <w:b/>
          <w:bCs/>
        </w:rPr>
      </w:pPr>
      <w:r w:rsidRPr="0071284B">
        <w:rPr>
          <w:b/>
          <w:bCs/>
        </w:rPr>
        <w:t xml:space="preserve">Fasıl 6: </w:t>
      </w:r>
      <w:hyperlink r:id="rId12" w:history="1">
        <w:r w:rsidRPr="0071284B">
          <w:rPr>
            <w:b/>
            <w:bCs/>
          </w:rPr>
          <w:t>Şirketler Hukuku</w:t>
        </w:r>
      </w:hyperlink>
      <w:r w:rsidRPr="0071284B">
        <w:rPr>
          <w:b/>
          <w:bCs/>
        </w:rPr>
        <w:t xml:space="preserve"> </w:t>
      </w:r>
      <w:r w:rsidRPr="0071284B">
        <w:rPr>
          <w:b/>
          <w:bCs/>
        </w:rPr>
        <w:br/>
      </w:r>
    </w:p>
    <w:p w:rsidR="00D07B09" w:rsidRPr="0071284B" w:rsidRDefault="00D07B09" w:rsidP="00EE0A4A">
      <w:pPr>
        <w:ind w:firstLine="708"/>
        <w:jc w:val="both"/>
      </w:pPr>
      <w:r>
        <w:t>Şirketler Hukuku faslında</w:t>
      </w:r>
      <w:r w:rsidRPr="0071284B">
        <w:t xml:space="preserve"> Türkiye tarafından bazı gelişmelerin kaydedil</w:t>
      </w:r>
      <w:r>
        <w:t xml:space="preserve">miştir. </w:t>
      </w:r>
      <w:r w:rsidRPr="0071284B">
        <w:t>Özellikle uzun zamandan beri çıkarılması beklenilen Türk Ticaret Kanunu'nun 14 Şubat 2011 tarihinde kabulünün ardından, Kanunun Temmuz 2012 tarihi itibariyle yürürlüğe girmesi bu başlık altındaki müzakerelerde önemli bir adım olarak değerlendirilmektedir. Ancak Kanun</w:t>
      </w:r>
      <w:r>
        <w:t>’</w:t>
      </w:r>
      <w:r w:rsidRPr="0071284B">
        <w:t>un yürürlüğe girmesinden önce bazı maddelerde değişiklikler yapılmış</w:t>
      </w:r>
      <w:r>
        <w:t xml:space="preserve"> olup,</w:t>
      </w:r>
      <w:r w:rsidRPr="0071284B">
        <w:t xml:space="preserve"> bu değişikliklerin bazıları AB müktesebatına uyumlu </w:t>
      </w:r>
      <w:r>
        <w:t>değildir.</w:t>
      </w:r>
      <w:r w:rsidRPr="0071284B">
        <w:t xml:space="preserve"> </w:t>
      </w:r>
      <w:r>
        <w:t>D</w:t>
      </w:r>
      <w:r w:rsidRPr="0071284B">
        <w:t>evam etmekte olan şirket kayıtlarının çevrimiçi (</w:t>
      </w:r>
      <w:r w:rsidRPr="00C56B8C">
        <w:rPr>
          <w:i/>
          <w:iCs/>
        </w:rPr>
        <w:t>online</w:t>
      </w:r>
      <w:r w:rsidRPr="0071284B">
        <w:t>) yapılabilmesine imkan sağlayan proje ile söz konusu uygulamanın tüm Ticaret Odalarına genişletilmesi planı</w:t>
      </w:r>
      <w:r>
        <w:t xml:space="preserve"> b</w:t>
      </w:r>
      <w:r w:rsidRPr="0071284B">
        <w:t>u başlık altında yer alan diğ</w:t>
      </w:r>
      <w:r>
        <w:t>er önemli gelişmeler arasında yer almaktadır.</w:t>
      </w:r>
    </w:p>
    <w:p w:rsidR="00D07B09" w:rsidRPr="0071284B" w:rsidRDefault="00D07B09" w:rsidP="00EE0A4A">
      <w:pPr>
        <w:jc w:val="both"/>
      </w:pPr>
    </w:p>
    <w:p w:rsidR="00D07B09" w:rsidRPr="0071284B" w:rsidRDefault="00D07B09" w:rsidP="00EE0A4A">
      <w:pPr>
        <w:ind w:firstLine="708"/>
        <w:jc w:val="both"/>
      </w:pPr>
      <w:r w:rsidRPr="0071284B">
        <w:t>Sermaye Piyasası Kurulu tarafından kurumsal yönetim ilkeleri yayımlanmış ve bu ilkelerin kapsamı daha fazla sayıda şirketi içerine alacak şekilde genişletilmiştir. Yeni Ticaret Kanunu ile birlikte, yeni kuralların uygulanmasında Ticaret Mahkemeleri</w:t>
      </w:r>
      <w:r>
        <w:t>’</w:t>
      </w:r>
      <w:r w:rsidRPr="0071284B">
        <w:t>ne ilave görevler verilmi</w:t>
      </w:r>
      <w:r>
        <w:t>ştir. Ancak Ticaret Mahkemeleri’nin</w:t>
      </w:r>
      <w:r w:rsidRPr="0071284B">
        <w:t xml:space="preserve"> kapasitesi halen yeterli düzeyde bulun</w:t>
      </w:r>
      <w:r>
        <w:t>ma</w:t>
      </w:r>
      <w:r w:rsidRPr="0071284B">
        <w:t xml:space="preserve">maktadır. </w:t>
      </w:r>
    </w:p>
    <w:p w:rsidR="00D07B09" w:rsidRPr="0071284B" w:rsidRDefault="00D07B09" w:rsidP="00EE0A4A">
      <w:pPr>
        <w:jc w:val="both"/>
      </w:pPr>
    </w:p>
    <w:p w:rsidR="00D07B09" w:rsidRPr="0071284B" w:rsidRDefault="00D07B09" w:rsidP="00EE0A4A">
      <w:pPr>
        <w:ind w:firstLine="708"/>
        <w:jc w:val="both"/>
      </w:pPr>
      <w:r w:rsidRPr="0071284B">
        <w:t>Şirketler Muhasebesi alanında da sınırlı bir ilerlemeden söz etmek mümkündür. Türkiye Muhasebe Standartları Kurulu tarafından, Uluslararası Muhasebe Standartlarına ilişkin 40 adet standart, 22 adet yorum ve gözden geçirme sonucu yayımlanmıştır. Yeni kurulan Kamu Gözetimi, Muhasebe ve Denetim Standartları Kurumu, selefi Kamu Muhasebe Standartları Kurumu'nun tüm görevleri ile birlikte malvarlığını da devralmıştır.</w:t>
      </w:r>
    </w:p>
    <w:p w:rsidR="00D07B09" w:rsidRPr="0071284B" w:rsidRDefault="00D07B09" w:rsidP="00EE0A4A">
      <w:pPr>
        <w:jc w:val="both"/>
      </w:pPr>
    </w:p>
    <w:p w:rsidR="00D07B09" w:rsidRPr="0071284B" w:rsidRDefault="00D07B09" w:rsidP="00EE0A4A">
      <w:pPr>
        <w:ind w:firstLine="708"/>
        <w:jc w:val="both"/>
      </w:pPr>
      <w:r w:rsidRPr="0071284B">
        <w:t>Denetim alanında önemli ilerlemeler kaydedilmiş bulunmaktadır. Kasım 2011 tarihinde kurulan Kamu Gözetimi, Muhasebe ve Denetim Standartları Kurumu, Aralık 2011'de faal hale getirilmiştir. Söz konusu kurumun halihazırda 50 adet personeli bulunmakta olup, bu kapasite'nin geliştirilmesi gerekmektedir.</w:t>
      </w:r>
    </w:p>
    <w:p w:rsidR="00D07B09" w:rsidRPr="0071284B" w:rsidRDefault="00D07B09" w:rsidP="00EE0A4A">
      <w:pPr>
        <w:jc w:val="both"/>
      </w:pPr>
    </w:p>
    <w:p w:rsidR="00D07B09" w:rsidRPr="0071284B" w:rsidRDefault="00D07B09" w:rsidP="00EE0A4A">
      <w:pPr>
        <w:ind w:firstLine="708"/>
        <w:jc w:val="both"/>
      </w:pPr>
      <w:r>
        <w:t>Sonuç olarak,</w:t>
      </w:r>
      <w:r w:rsidRPr="0071284B">
        <w:t xml:space="preserve"> Kamu Gözetimi, Muhasebe ve Denetim Standartları Kurumu'nun kurulmuş olması bu başlık altındaki müzakereler bakımından önemli bir gelişme olarak değerlendirilm</w:t>
      </w:r>
      <w:r>
        <w:t xml:space="preserve">ektedir. </w:t>
      </w:r>
      <w:r w:rsidRPr="0071284B">
        <w:t>Bununla birlikte, Ticaret Mahkemeleri ile iş örgütlerinin yeni Ticaret Kanunu'ndan kaynaklanan değişikliklerin gereklerini yerine getirebilmesi bakımından kapasitel</w:t>
      </w:r>
      <w:r>
        <w:t>erinin güçlendirilmesi gerekmektedir.</w:t>
      </w:r>
      <w:r w:rsidRPr="0071284B">
        <w:t xml:space="preserve"> </w:t>
      </w:r>
      <w:r>
        <w:t>B</w:t>
      </w:r>
      <w:r w:rsidRPr="0071284B">
        <w:t>u fasıldaki gelişmeler ileri seviyede</w:t>
      </w:r>
      <w:r>
        <w:t>dir.</w:t>
      </w:r>
    </w:p>
    <w:p w:rsidR="00D07B09" w:rsidRPr="0071284B" w:rsidRDefault="00D07B09" w:rsidP="00EE0A4A">
      <w:pPr>
        <w:jc w:val="both"/>
      </w:pPr>
    </w:p>
    <w:p w:rsidR="00D07B09" w:rsidRPr="0071284B" w:rsidRDefault="00D07B09" w:rsidP="00EE0A4A">
      <w:pPr>
        <w:rPr>
          <w:b/>
          <w:bCs/>
        </w:rPr>
      </w:pPr>
      <w:r w:rsidRPr="0071284B">
        <w:rPr>
          <w:b/>
          <w:bCs/>
        </w:rPr>
        <w:t xml:space="preserve">Fasıl 7: </w:t>
      </w:r>
      <w:hyperlink r:id="rId13" w:history="1">
        <w:r w:rsidRPr="0071284B">
          <w:rPr>
            <w:b/>
            <w:bCs/>
          </w:rPr>
          <w:t>Fikri Mülkiyet Hukuku</w:t>
        </w:r>
      </w:hyperlink>
      <w:r w:rsidRPr="0071284B">
        <w:rPr>
          <w:b/>
          <w:bCs/>
        </w:rPr>
        <w:t xml:space="preserve"> </w:t>
      </w:r>
      <w:r w:rsidRPr="0071284B">
        <w:rPr>
          <w:b/>
          <w:bCs/>
        </w:rPr>
        <w:br/>
      </w:r>
    </w:p>
    <w:p w:rsidR="00D07B09" w:rsidRPr="0071284B" w:rsidRDefault="00D07B09" w:rsidP="00EE0A4A">
      <w:pPr>
        <w:ind w:firstLine="708"/>
        <w:jc w:val="both"/>
      </w:pPr>
      <w:r w:rsidRPr="0071284B">
        <w:t>Fikri mülkiyet hukuku alanında bir miktar ilerleme sağlanmıştır. Sınai mülkiyet haklarının etkin bir şekilde uygulanmasına ilişkin siyasi irade zayıf kalmaktadır. AB ile Türkiye arasındaki Fikri Mülkiyet Hakları (FMH) Çalışma Grubu</w:t>
      </w:r>
      <w:r>
        <w:t>’</w:t>
      </w:r>
      <w:r w:rsidRPr="0071284B">
        <w:t xml:space="preserve">nun ikinci toplantısı Ocak 2012’de gerçekleştirilmiştir. </w:t>
      </w:r>
    </w:p>
    <w:p w:rsidR="00D07B09" w:rsidRPr="0071284B" w:rsidRDefault="00D07B09" w:rsidP="00EE0A4A">
      <w:pPr>
        <w:jc w:val="both"/>
      </w:pPr>
    </w:p>
    <w:p w:rsidR="00D07B09" w:rsidRPr="0071284B" w:rsidRDefault="00D07B09" w:rsidP="00EE0A4A">
      <w:pPr>
        <w:ind w:firstLine="708"/>
        <w:jc w:val="both"/>
      </w:pPr>
      <w:r w:rsidRPr="0071284B">
        <w:t>Telif hakları ve bağlantılı haklara yönelik olarak, taslak Fikir ve Sanat Eserleri Kanunu halen kabul edilmemiştir. Kültür ve Turizm Bakanlığı bünyesindeki ilgili Genel Müdürlük yeniden yapılandırılarak telif haklarından sorumlu hale getirilmiştir. FMH eğitimi almı</w:t>
      </w:r>
      <w:r>
        <w:t>ş ve etkin bir şekilde çalışan İl Denetim K</w:t>
      </w:r>
      <w:r w:rsidRPr="0071284B">
        <w:t>omisyonları</w:t>
      </w:r>
      <w:r>
        <w:t>’</w:t>
      </w:r>
      <w:r w:rsidRPr="0071284B">
        <w:t xml:space="preserve">nın sayısı 2011 yılında 46’dan 81’e çıkarılmıştır. </w:t>
      </w:r>
    </w:p>
    <w:p w:rsidR="00D07B09" w:rsidRPr="0071284B" w:rsidRDefault="00D07B09" w:rsidP="00EE0A4A">
      <w:pPr>
        <w:jc w:val="both"/>
      </w:pPr>
    </w:p>
    <w:p w:rsidR="00D07B09" w:rsidRPr="0071284B" w:rsidRDefault="00D07B09" w:rsidP="00EE0A4A">
      <w:pPr>
        <w:ind w:firstLine="708"/>
        <w:jc w:val="both"/>
      </w:pPr>
      <w:r w:rsidRPr="0071284B">
        <w:t>Sınai mülkiyet haklarının uygulanmasına ilişkin olarak bazı ilerlemeler kaydedilmiştir. Taslak kanun için 2012 yılı Ocak ayında bir kamu danışma süreci başlatılmıştır. Patent, marka ve endüstriyel tasarım inceleme kriterleri halka açık hale getirilmiştir.</w:t>
      </w:r>
    </w:p>
    <w:p w:rsidR="00D07B09" w:rsidRPr="0071284B" w:rsidRDefault="00D07B09" w:rsidP="00EE0A4A">
      <w:pPr>
        <w:jc w:val="both"/>
      </w:pPr>
    </w:p>
    <w:p w:rsidR="00D07B09" w:rsidRPr="0071284B" w:rsidRDefault="00D07B09" w:rsidP="00EE0A4A">
      <w:pPr>
        <w:ind w:firstLine="708"/>
        <w:jc w:val="both"/>
      </w:pPr>
      <w:r w:rsidRPr="0071284B">
        <w:t>Türk Patent Enstitüsü</w:t>
      </w:r>
      <w:r>
        <w:t>’nü</w:t>
      </w:r>
      <w:r w:rsidRPr="0071284B">
        <w:t>n (TPE) kurumsal kapasitesi güçlendirilmiştir. TPE ile FMH mahkemelerinin nihai kararları arasındaki tutarlılık düzeyi artmıştır. Fikri Mülkiyet Akademisi kurulması için 2012 yılı Ocak ayında TPE ile Kültür ve Turizm Bakanlığı arasında bir mutabakat zaptı imzalanmıştır. Genç uzmanlara standart ve profesyonel eğitim vermeyi amaçlayan Akademi</w:t>
      </w:r>
      <w:r>
        <w:t>’</w:t>
      </w:r>
      <w:r w:rsidRPr="0071284B">
        <w:t>nin 2013 yılında işlevsel hale gelmesi öngörülmektedir.</w:t>
      </w:r>
    </w:p>
    <w:p w:rsidR="00D07B09" w:rsidRPr="0071284B" w:rsidRDefault="00D07B09" w:rsidP="00EE0A4A">
      <w:pPr>
        <w:jc w:val="both"/>
      </w:pPr>
    </w:p>
    <w:p w:rsidR="00D07B09" w:rsidRPr="0071284B" w:rsidRDefault="00D07B09" w:rsidP="00EE0A4A">
      <w:pPr>
        <w:ind w:firstLine="708"/>
        <w:jc w:val="both"/>
      </w:pPr>
      <w:r w:rsidRPr="0071284B">
        <w:t>Kanunların uygulanması konusunda herhangi bir ilerleme sağlanamamıştır. Markalar haricindeki sınai mülkiyet hakları için cezai uygulama tedbirleri bulunmamaktadır. FMH uygulama prosedürlerine ilişkin olarak, AB Uygulama Direktifi ile uyumlu bir kanunun kabul edilmesine ihtiyaç duyulmaktadır. Taklit malların suçlulara geri dönmesi ve ihtiyati tedbir kararı aldırmada yaşanan zorluklara dair sorunlar halen çözüm beklemektedir.</w:t>
      </w:r>
    </w:p>
    <w:p w:rsidR="00D07B09" w:rsidRPr="0071284B" w:rsidRDefault="00D07B09" w:rsidP="00EE0A4A">
      <w:pPr>
        <w:jc w:val="both"/>
      </w:pPr>
    </w:p>
    <w:p w:rsidR="00D07B09" w:rsidRPr="0071284B" w:rsidRDefault="00D07B09" w:rsidP="00EE0A4A">
      <w:pPr>
        <w:ind w:firstLine="708"/>
        <w:jc w:val="both"/>
      </w:pPr>
      <w:r w:rsidRPr="0071284B">
        <w:t>Gümrüklerdeki uygulamaya ilişkin olarak, taklit malların piyasaya girişini önlemede merkezi veritabanı ve bilgi teknolojileri yönetim sistemi yeterince etkin kullanılamamaktadır. Türkiye halen FMH ihlali şüphesi taşıyan malların AB’ye giriş yaptığı başlıca ülkeler arasında gelmektedir. Gümrüklerdeki FMH uygulama kapasitesi bilhassa ihracat kontrolleri bakımından güçlendirilmelidir.</w:t>
      </w:r>
    </w:p>
    <w:p w:rsidR="00D07B09" w:rsidRPr="0071284B" w:rsidRDefault="00D07B09" w:rsidP="00EE0A4A">
      <w:pPr>
        <w:jc w:val="both"/>
      </w:pPr>
    </w:p>
    <w:p w:rsidR="00D07B09" w:rsidRPr="0071284B" w:rsidRDefault="00D07B09" w:rsidP="00EE0A4A">
      <w:pPr>
        <w:ind w:firstLine="708"/>
        <w:jc w:val="both"/>
      </w:pPr>
      <w:r w:rsidRPr="0071284B">
        <w:t xml:space="preserve">Ülke genelinde Aralık 2011’den bu yana sürdürülen bilinçlendirici kampanyaların daha etkin hale getirilmesi ve daha geniş bir kesime hitap edecek şekilde teşvik edilmesine ihtiyaç duyulmaktadır. </w:t>
      </w:r>
    </w:p>
    <w:p w:rsidR="00D07B09" w:rsidRPr="0071284B" w:rsidRDefault="00D07B09" w:rsidP="00EE0A4A">
      <w:pPr>
        <w:autoSpaceDE w:val="0"/>
        <w:autoSpaceDN w:val="0"/>
        <w:adjustRightInd w:val="0"/>
        <w:ind w:firstLine="708"/>
        <w:jc w:val="both"/>
      </w:pPr>
    </w:p>
    <w:p w:rsidR="00D07B09" w:rsidRPr="0071284B" w:rsidRDefault="00D07B09" w:rsidP="00EE0A4A">
      <w:pPr>
        <w:rPr>
          <w:b/>
          <w:bCs/>
        </w:rPr>
      </w:pPr>
      <w:r w:rsidRPr="0071284B">
        <w:rPr>
          <w:b/>
          <w:bCs/>
        </w:rPr>
        <w:t xml:space="preserve">Fasıl 8: </w:t>
      </w:r>
      <w:hyperlink r:id="rId14" w:history="1">
        <w:r w:rsidRPr="0071284B">
          <w:rPr>
            <w:b/>
            <w:bCs/>
          </w:rPr>
          <w:t>Rekabet Politikası</w:t>
        </w:r>
      </w:hyperlink>
      <w:r w:rsidRPr="0071284B">
        <w:rPr>
          <w:b/>
          <w:bCs/>
        </w:rPr>
        <w:t xml:space="preserve"> </w:t>
      </w:r>
      <w:r w:rsidRPr="0071284B">
        <w:rPr>
          <w:b/>
          <w:bCs/>
        </w:rPr>
        <w:br/>
      </w:r>
    </w:p>
    <w:p w:rsidR="00D07B09" w:rsidRPr="0071284B" w:rsidRDefault="00D07B09" w:rsidP="00EE0A4A">
      <w:pPr>
        <w:ind w:firstLine="708"/>
        <w:jc w:val="both"/>
      </w:pPr>
      <w:r w:rsidRPr="0071284B">
        <w:t xml:space="preserve">Antitröst ve birleşmeler konusunda sınırlı bir ilerleme sağlanmıştır. Rekabet Kurumu bankacılık sektörünün de aralarında bulunduğu bazı alanlarda kabul ettiği mevzuat ile uygulamayı güçlendirmiştir. 11 adet sektörde rekabette öne çıkan, mevzuata ilişkin ve diğer engelleri ele alan ilk Rekabet Raporu 2012 yılı Mart ayında yayımlanmıştır. Rekabet Kurumu idari ve işlevsel bağımsızlığını korumuş, personeline yönelik üst-düzey eğitime verdiği önemi sürdürmüştür. Ancak, 2011 yılı sonlarında kabul edilen bir kanun hükmünde kararname ile Kurum’un Başkan ve Başkan Yardımcısının atanma kuralları değiştirilmiş olup, bu da, 2011 yılında yetkili Bakana Kurum’un faaliyetlerini izleme ve denetleme yetkisi veren yasal düzenleme ile başlayan Kurum’un bağımsızlığına ilişkin endişelerin artmasına yol açmıştır. </w:t>
      </w:r>
    </w:p>
    <w:p w:rsidR="00D07B09" w:rsidRPr="0071284B" w:rsidRDefault="00D07B09" w:rsidP="00EE0A4A">
      <w:pPr>
        <w:jc w:val="both"/>
      </w:pPr>
    </w:p>
    <w:p w:rsidR="00D07B09" w:rsidRPr="0071284B" w:rsidRDefault="00D07B09" w:rsidP="00EE0A4A">
      <w:pPr>
        <w:ind w:firstLine="708"/>
        <w:jc w:val="both"/>
      </w:pPr>
      <w:r w:rsidRPr="0071284B">
        <w:t>Pazar payları %20’nin altında olan banka birleşmeleri ve devralmaları halen Rekabet Hukuku kapsamı dışında yer almaktadır. Yatay işbirliği anlaşmaları ve “</w:t>
      </w:r>
      <w:r w:rsidRPr="00951843">
        <w:rPr>
          <w:i/>
          <w:iCs/>
        </w:rPr>
        <w:t>de minimis</w:t>
      </w:r>
      <w:r w:rsidRPr="0071284B">
        <w:t xml:space="preserve">” kurallarının yanı sıra, kamu teşebbüsleri ile kendilerine özel ve ayrıcalıklı haklar tanınmış teşebbüslere ilişkin AB müktesebatına uyum sağlanması gerekmektedir. Antitröst ve birleşmeler konusundaki müktesebat uyumu ise ileri seviyededir. </w:t>
      </w:r>
    </w:p>
    <w:p w:rsidR="00D07B09" w:rsidRPr="0071284B" w:rsidRDefault="00D07B09" w:rsidP="00EE0A4A">
      <w:pPr>
        <w:jc w:val="both"/>
      </w:pPr>
    </w:p>
    <w:p w:rsidR="00D07B09" w:rsidRPr="0071284B" w:rsidRDefault="00D07B09" w:rsidP="00EE0A4A">
      <w:pPr>
        <w:ind w:firstLine="708"/>
        <w:jc w:val="both"/>
      </w:pPr>
      <w:r w:rsidRPr="0071284B">
        <w:t>Devlet yardımları konusunda herhangi bir ilerleme kaydedilememiştir. Devlet Yardımları İzleme Otoritesi kapasitesini geliştirmeye devam etmiştir. Devlet Yardımları Kanunu</w:t>
      </w:r>
      <w:r>
        <w:t>’</w:t>
      </w:r>
      <w:r w:rsidRPr="0071284B">
        <w:t xml:space="preserve">nun uygulama mevzuatı hazırlanmış, ancak 2011 yılı Eylül ayı bitiminden önce yürürlüğe konulması öngörülürken, 2011 yılı Kasım ayında çıkarılan bir kanun hükmünde kararname ile söz konusu tarih 2013 Haziran sonuna ertelenmiştir. Ayrıca, 19 Haziran 2012 tarihinde 2009 yılındaki paketin yerine geçen yeni bir teşvik paketi yayımlanmıştır. Söz konusu yeni paket, serbest bölgelere ilişkin rejimle birlikte, Gümrük Birliği kuralları ile uyumlu hale getirilmesi gereken başlıca alanlar arasında yer almaktadır. Devlet Yardımları İzleme Otoritesi’nin halen resmi bir devlet yardımları envanteri oluşturması ve tüm devlet yardımı kurallarının AB müktesebatıyla uyumlaştırılmasına ilişkin bir eylem planı hazırlaması gerekmektedir. </w:t>
      </w:r>
    </w:p>
    <w:p w:rsidR="00D07B09" w:rsidRDefault="00D07B09" w:rsidP="00EE0A4A"/>
    <w:p w:rsidR="00D07B09" w:rsidRPr="0071284B" w:rsidRDefault="00D07B09" w:rsidP="00EE0A4A"/>
    <w:p w:rsidR="00D07B09" w:rsidRPr="0071284B" w:rsidRDefault="00D07B09" w:rsidP="00EE0A4A">
      <w:pPr>
        <w:rPr>
          <w:b/>
          <w:bCs/>
        </w:rPr>
      </w:pPr>
      <w:r w:rsidRPr="0071284B">
        <w:rPr>
          <w:b/>
          <w:bCs/>
        </w:rPr>
        <w:t xml:space="preserve">Fasıl 9: </w:t>
      </w:r>
      <w:hyperlink r:id="rId15" w:history="1">
        <w:r w:rsidRPr="0071284B">
          <w:rPr>
            <w:b/>
            <w:bCs/>
          </w:rPr>
          <w:t>Mali Hizmetler</w:t>
        </w:r>
      </w:hyperlink>
      <w:r w:rsidRPr="0071284B">
        <w:rPr>
          <w:b/>
          <w:bCs/>
        </w:rPr>
        <w:t xml:space="preserve"> </w:t>
      </w:r>
      <w:r w:rsidRPr="0071284B">
        <w:rPr>
          <w:b/>
          <w:bCs/>
        </w:rPr>
        <w:br/>
      </w:r>
    </w:p>
    <w:p w:rsidR="00D07B09" w:rsidRPr="0071284B" w:rsidRDefault="00D07B09" w:rsidP="00EE0A4A">
      <w:pPr>
        <w:ind w:firstLine="708"/>
        <w:jc w:val="both"/>
      </w:pPr>
      <w:r w:rsidRPr="0071284B">
        <w:t>Bankalar ve mali gruplar konusunda bazı ilerlemeler kaydedilmiştir. 1 Temmuz 2012 tarihinden itibaren, bankacılık sektöründe, BASEL II standartları zorunludur. Yabancı gözetim otoriteleriyle bilgi gizlilik mevzuatı alanında uyum sağlanmıştır. Sigortacılık ve bireysel emeklilik konusunda bazı ilerlemeler kaydedilmiştir. Sigortacılık sektöründe, bağımsız bir düzenleyici otoritenin kurulması konusunda ilerleme kaydedilmemiştir. Türkiye’nin mali piyasa altyapısına ilişkin AB müktesebatına uyumu yüksektir. Menkul kıymet piyasaları ve yatırım hizmetleri alanında kısıtlı ilerlemeler kaydedilmiştir.</w:t>
      </w:r>
    </w:p>
    <w:p w:rsidR="00D07B09" w:rsidRPr="0071284B" w:rsidRDefault="00D07B09" w:rsidP="00EE0A4A">
      <w:pPr>
        <w:jc w:val="both"/>
      </w:pPr>
    </w:p>
    <w:p w:rsidR="00D07B09" w:rsidRPr="0071284B" w:rsidRDefault="00D07B09" w:rsidP="00EE0A4A">
      <w:pPr>
        <w:ind w:firstLine="708"/>
        <w:jc w:val="both"/>
      </w:pPr>
      <w:r w:rsidRPr="0071284B">
        <w:t>Sonuç olarak; mali hizmetler alanında bazı ilerlemeler kaydedilmiştir. Bankacılık sektöründe, BASEL II standartları zorunlu hale gelmiştir. Menkul kıymet piyasaları, yatırım hizmetleri ve sigortacılık sektöründe daha fazla ilerlemeye ihtiyaç duyulmaktadır. Genel hazırlık durumu ileri düzeydedir.</w:t>
      </w:r>
    </w:p>
    <w:p w:rsidR="00D07B09" w:rsidRPr="0071284B" w:rsidRDefault="00D07B09" w:rsidP="00EE0A4A">
      <w:pPr>
        <w:rPr>
          <w:b/>
          <w:bCs/>
        </w:rPr>
      </w:pPr>
    </w:p>
    <w:p w:rsidR="00D07B09" w:rsidRPr="0071284B" w:rsidRDefault="00D07B09" w:rsidP="00EE0A4A">
      <w:pPr>
        <w:rPr>
          <w:b/>
          <w:bCs/>
        </w:rPr>
      </w:pPr>
      <w:r w:rsidRPr="0071284B">
        <w:rPr>
          <w:b/>
          <w:bCs/>
        </w:rPr>
        <w:t xml:space="preserve">Fasıl 10: </w:t>
      </w:r>
      <w:hyperlink r:id="rId16" w:history="1">
        <w:r w:rsidRPr="0071284B">
          <w:rPr>
            <w:b/>
            <w:bCs/>
          </w:rPr>
          <w:t>Bilgi Toplumu ve Medya</w:t>
        </w:r>
      </w:hyperlink>
      <w:r w:rsidRPr="0071284B">
        <w:rPr>
          <w:b/>
          <w:bCs/>
        </w:rPr>
        <w:t xml:space="preserve"> </w:t>
      </w:r>
      <w:r w:rsidRPr="0071284B">
        <w:rPr>
          <w:b/>
          <w:bCs/>
        </w:rPr>
        <w:br/>
      </w:r>
    </w:p>
    <w:p w:rsidR="00D07B09" w:rsidRPr="0071284B" w:rsidRDefault="00D07B09" w:rsidP="00EE0A4A">
      <w:pPr>
        <w:ind w:firstLine="708"/>
        <w:jc w:val="both"/>
      </w:pPr>
      <w:r w:rsidRPr="0071284B">
        <w:t>Elektronik haberleşme ve bilgi teknolojileri konusunda bazı ilerlemeler kaydedilmiştir.  Pazar erişimi, ara bağlantı, perakende tarife düzenlemesi ve spektrum yönetimi konularındaki bazı hükümler AB çerçevesi ile farklılıklar göstermektedir. Düzenleyici kurumun faaliyetlerinin şeffaflığı ve hesap verebilirliği konusunda mevzuat uyumu bakımından ilerlemeler kaydedilmiştir. Bilgi Teknolojileri ve İletişim Kurumu (</w:t>
      </w:r>
      <w:r w:rsidRPr="00226BA7">
        <w:rPr>
          <w:i/>
          <w:iCs/>
        </w:rPr>
        <w:t>Information and Communication Technologies Authority</w:t>
      </w:r>
      <w:r w:rsidRPr="0071284B">
        <w:t xml:space="preserve">), üçüncü pazar analizine başlamıştır. Mobil telefon piyasasında rekabet etkindir; ancak, sabit telefon ve geniş bant pazarlarına giren yeni girişimcilerin haklarının uygulanmasında güçlük çıkmaktadır. </w:t>
      </w:r>
    </w:p>
    <w:p w:rsidR="00D07B09" w:rsidRPr="0071284B" w:rsidRDefault="00D07B09" w:rsidP="00EE0A4A">
      <w:pPr>
        <w:jc w:val="both"/>
      </w:pPr>
    </w:p>
    <w:p w:rsidR="00D07B09" w:rsidRPr="0071284B" w:rsidRDefault="00D07B09" w:rsidP="00EE0A4A">
      <w:pPr>
        <w:ind w:firstLine="708"/>
        <w:jc w:val="both"/>
      </w:pPr>
      <w:r w:rsidRPr="0071284B">
        <w:t>Bilgi toplumu hizmetlerine ilişkin olarak, mevzuat uyumu bakımından ilerleme kaydedilmemiştir. Türkiye, şartlı erişimi içeren hizmetlerin hukuki korunmasına ilişkin Avrupa Sözleşmesini imzalamamıştır. Elektronik İmza Kanunu ile ilgili AB direktifi arasında farklılıklar bulunmaktadır. Görsel işitsel politika konusunda ilerlemeler kaydedilmiştir.</w:t>
      </w:r>
    </w:p>
    <w:p w:rsidR="00D07B09" w:rsidRPr="0071284B" w:rsidRDefault="00D07B09" w:rsidP="00EE0A4A">
      <w:pPr>
        <w:jc w:val="both"/>
      </w:pPr>
    </w:p>
    <w:p w:rsidR="00D07B09" w:rsidRPr="0071284B" w:rsidRDefault="00D07B09" w:rsidP="00EE0A4A">
      <w:pPr>
        <w:ind w:firstLine="708"/>
        <w:jc w:val="both"/>
      </w:pPr>
      <w:r w:rsidRPr="0071284B">
        <w:t>Sonuç olarak; genel bağlamda, bilgi toplumu ve medya faslında bazı ilerlemeler kaydedilmiştir; ancak, elektronik haberleşme konusunda, daha fazla çabaya ihtiyaç duyulmaktadır. Bilgi toplumu hizmetlerine ilişkin olarak, mevzuat uyumu bakımından ilerleme kaydedilmesi gerekmektedir. Genel hazırlık durumu orta düzeydedir.</w:t>
      </w:r>
    </w:p>
    <w:p w:rsidR="00D07B09" w:rsidRPr="0071284B" w:rsidRDefault="00D07B09" w:rsidP="00EE0A4A"/>
    <w:p w:rsidR="00D07B09" w:rsidRPr="0071284B" w:rsidRDefault="00D07B09" w:rsidP="00EE0A4A">
      <w:pPr>
        <w:rPr>
          <w:b/>
          <w:bCs/>
        </w:rPr>
      </w:pPr>
      <w:r w:rsidRPr="0071284B">
        <w:rPr>
          <w:b/>
          <w:bCs/>
        </w:rPr>
        <w:t xml:space="preserve">Fasıl 11: </w:t>
      </w:r>
      <w:hyperlink r:id="rId17" w:history="1">
        <w:r w:rsidRPr="0071284B">
          <w:rPr>
            <w:b/>
            <w:bCs/>
          </w:rPr>
          <w:t>Tarım ve Kırsal Kalkınma</w:t>
        </w:r>
      </w:hyperlink>
      <w:r w:rsidRPr="0071284B">
        <w:rPr>
          <w:b/>
          <w:bCs/>
        </w:rPr>
        <w:t xml:space="preserve"> </w:t>
      </w:r>
      <w:r w:rsidRPr="0071284B">
        <w:rPr>
          <w:b/>
          <w:bCs/>
        </w:rPr>
        <w:br/>
      </w:r>
    </w:p>
    <w:p w:rsidR="00D07B09" w:rsidRPr="0071284B" w:rsidRDefault="00D07B09" w:rsidP="00EE0A4A">
      <w:pPr>
        <w:ind w:firstLine="708"/>
        <w:jc w:val="both"/>
      </w:pPr>
      <w:r w:rsidRPr="0071284B">
        <w:t xml:space="preserve">Yatay konularda sınırlı bir ilerleme sağlanmıştır. Tarımsal istatistikler ve Tarım Muhasebesi Veri Ağı (FADN) konuları da dahil olmak üzere, Ortak Tarım Politikası (OTP) ile uyumun sağlanmasını teminen idari kapasitenin arttırılması yolunda önemli adımlar atılmıştır. Ancak, OTP alanında müktesebat uyumu sınırlı kalmış, halen üzerinde çalışılan tarımsal istatistiklere ilişkin strateji henüz kabul edilmemiştir. </w:t>
      </w:r>
    </w:p>
    <w:p w:rsidR="00D07B09" w:rsidRPr="0071284B" w:rsidRDefault="00D07B09" w:rsidP="00EE0A4A">
      <w:pPr>
        <w:jc w:val="both"/>
      </w:pPr>
    </w:p>
    <w:p w:rsidR="00D07B09" w:rsidRPr="0071284B" w:rsidRDefault="00D07B09" w:rsidP="00EE0A4A">
      <w:pPr>
        <w:ind w:firstLine="708"/>
        <w:jc w:val="both"/>
      </w:pPr>
      <w:r w:rsidRPr="0071284B">
        <w:t>Üreticilere sağlanan doğrudan desteklere ilişkin politikanın OTP ile uyumlaştırılması konusunda henüz bir strateji hazırlanmamıştır. 2012 yılı tarım bütçesi daha önceki uygulamaların bir devamı niteliğindedir. Arazi Parsel Tanımlama Sistemi’nin (LPIS) geliştirilmesine yönelik bir</w:t>
      </w:r>
      <w:r>
        <w:t xml:space="preserve"> </w:t>
      </w:r>
      <w:r w:rsidRPr="0071284B">
        <w:t>takım çabalara rağmen, Entegre İdare ve Kontrol Sistemine (IACS) yönelik hazırlıklar çerçevesinde ilerleme sınırlı kalmıştır.</w:t>
      </w:r>
    </w:p>
    <w:p w:rsidR="00D07B09" w:rsidRPr="0071284B" w:rsidRDefault="00D07B09" w:rsidP="00EE0A4A">
      <w:pPr>
        <w:jc w:val="both"/>
      </w:pPr>
    </w:p>
    <w:p w:rsidR="00D07B09" w:rsidRPr="0071284B" w:rsidRDefault="00D07B09" w:rsidP="00EE0A4A">
      <w:pPr>
        <w:ind w:firstLine="708"/>
        <w:jc w:val="both"/>
      </w:pPr>
      <w:r w:rsidRPr="0071284B">
        <w:t xml:space="preserve">Canlı hayvan, et ve et mamulleri ithalatındaki yasağa ilişkin olarak, AB’nin ihracatının artmasını sağlayan belli bir miktar ilerleme kaydedilmiştir. Ancak, bazı AB Üyesi Ülkeler için ithalat yasağı devam etmektedir. Türkiye’nin tarım ürünlerine ilişkin ticaret anlaşmasından kaynaklanan ikili taahhütlerini tam olarak yerine getirmek için daha fazla çaba sarfetmesi gerekmektedir. </w:t>
      </w:r>
    </w:p>
    <w:p w:rsidR="00D07B09" w:rsidRPr="0071284B" w:rsidRDefault="00D07B09" w:rsidP="00EE0A4A">
      <w:pPr>
        <w:jc w:val="both"/>
      </w:pPr>
    </w:p>
    <w:p w:rsidR="00D07B09" w:rsidRPr="0071284B" w:rsidRDefault="00D07B09" w:rsidP="00EE0A4A">
      <w:pPr>
        <w:autoSpaceDE w:val="0"/>
        <w:autoSpaceDN w:val="0"/>
        <w:adjustRightInd w:val="0"/>
        <w:ind w:firstLine="708"/>
        <w:jc w:val="both"/>
      </w:pPr>
      <w:r w:rsidRPr="0071284B">
        <w:t xml:space="preserve">Ortak Pazar Düzeni konusunda, toptan piyasasında ticareti ve üretici birliklerini düzenleyen mevzuatın kabul edildiği meyve sebze sektöründe bir miktar ilerleme kaydedilmiştir. Ancak diğer sektörler için herhangi bir ilerleme söz konusu değildir. </w:t>
      </w:r>
    </w:p>
    <w:p w:rsidR="00D07B09" w:rsidRPr="0071284B" w:rsidRDefault="00D07B09" w:rsidP="00EE0A4A">
      <w:pPr>
        <w:autoSpaceDE w:val="0"/>
        <w:autoSpaceDN w:val="0"/>
        <w:adjustRightInd w:val="0"/>
        <w:jc w:val="both"/>
      </w:pPr>
    </w:p>
    <w:p w:rsidR="00D07B09" w:rsidRDefault="00D07B09" w:rsidP="00EE0A4A">
      <w:pPr>
        <w:autoSpaceDE w:val="0"/>
        <w:autoSpaceDN w:val="0"/>
        <w:adjustRightInd w:val="0"/>
        <w:ind w:firstLine="708"/>
        <w:jc w:val="both"/>
      </w:pPr>
      <w:r w:rsidRPr="0071284B">
        <w:t>Kırsal kalkınma alanında belli bir düzeyde ilerleme kaydedilmiştir. IPARD (Katılım Öncesi Mali Araç-Kırsal Kalkınma Bileşeni) programı kapsamında 3 il için daha AB fonlarının yetki devri alınmış olup, toplam il sayısı 20’ye çıkarılmıştır. Ancak uygulama yavaş yürümektedir. Her ne kadar IPARD Ajansı’nın ve Yönetim Otoritesi’nin kurumsal kapasiteleri güçlendirilse de, karar alıcılara erişiminin kolaylaştırılması ve etkinliğinin arttırılmasını teminen Yönetim Otoritesi’nin hiyerarşik yapıdaki pozisyonunun güçlendirilmesi gerekmektedir. Kalite politikası alanında herhangi bir ilerleme bulunmamakta olup, organik tarımda ise uygulama mevzuatının kabul edilmesiyle bir miktar ilerleme kaydedilmiştir.</w:t>
      </w:r>
    </w:p>
    <w:p w:rsidR="00D07B09" w:rsidRPr="0071284B" w:rsidRDefault="00D07B09" w:rsidP="00EE0A4A">
      <w:pPr>
        <w:autoSpaceDE w:val="0"/>
        <w:autoSpaceDN w:val="0"/>
        <w:adjustRightInd w:val="0"/>
        <w:ind w:firstLine="708"/>
        <w:jc w:val="both"/>
      </w:pPr>
    </w:p>
    <w:p w:rsidR="00D07B09" w:rsidRPr="0071284B" w:rsidRDefault="00D07B09" w:rsidP="00EE0A4A">
      <w:pPr>
        <w:rPr>
          <w:b/>
          <w:bCs/>
        </w:rPr>
      </w:pPr>
      <w:r w:rsidRPr="0071284B">
        <w:rPr>
          <w:b/>
          <w:bCs/>
        </w:rPr>
        <w:t xml:space="preserve">Fasıl 12: </w:t>
      </w:r>
      <w:hyperlink r:id="rId18" w:history="1">
        <w:r w:rsidRPr="0071284B">
          <w:rPr>
            <w:b/>
            <w:bCs/>
          </w:rPr>
          <w:t>Gıda Güvenliği, Veterinerlik ve Bitki Sağlığı</w:t>
        </w:r>
      </w:hyperlink>
      <w:r w:rsidRPr="0071284B">
        <w:rPr>
          <w:b/>
          <w:bCs/>
        </w:rPr>
        <w:t xml:space="preserve"> </w:t>
      </w:r>
      <w:r w:rsidRPr="0071284B">
        <w:rPr>
          <w:b/>
          <w:bCs/>
        </w:rPr>
        <w:br/>
      </w:r>
    </w:p>
    <w:p w:rsidR="00D07B09" w:rsidRPr="0071284B" w:rsidRDefault="00D07B09" w:rsidP="00EE0A4A">
      <w:pPr>
        <w:ind w:firstLine="708"/>
        <w:jc w:val="both"/>
      </w:pPr>
      <w:r w:rsidRPr="0071284B">
        <w:t>Genel gıda güvenliği konusunda, bilhassa AB müktesebatının iç hukuka aktarılması ve uygulanmasına ilişkin olarak bazı ilerlemeler kaydedildiği görülmektedir. Veteriner Hizmetleri, Bitki Sağlığı, Gıda ve Yem Kanunu’nun uygulanmasına yönelik olarak, bir kısmının yürürlüğe girmesi için geçiş süreci tanınan çok sayıda Yönetmelik kabul edilmiştir.</w:t>
      </w:r>
    </w:p>
    <w:p w:rsidR="00D07B09" w:rsidRPr="0071284B" w:rsidRDefault="00D07B09" w:rsidP="00EE0A4A">
      <w:pPr>
        <w:autoSpaceDE w:val="0"/>
        <w:autoSpaceDN w:val="0"/>
        <w:adjustRightInd w:val="0"/>
        <w:ind w:firstLine="708"/>
        <w:jc w:val="both"/>
      </w:pPr>
    </w:p>
    <w:p w:rsidR="00D07B09" w:rsidRPr="0071284B" w:rsidRDefault="00D07B09" w:rsidP="00EE0A4A">
      <w:pPr>
        <w:autoSpaceDE w:val="0"/>
        <w:autoSpaceDN w:val="0"/>
        <w:adjustRightInd w:val="0"/>
        <w:ind w:firstLine="708"/>
        <w:jc w:val="both"/>
      </w:pPr>
      <w:r w:rsidRPr="0071284B">
        <w:t>Veterinerlik politikası alanında, müktesebat uyumu ve uygulanması hususunda belirli bir ilerleme kaydedilmiştir. Bu alanda önemli bir adım olan, ithalat kontrol sistemlerine ilişkin bazı Yönetmelikler kabul edilmiştir. Ancak müktesebatla uyumlu şekilde tam bir uygulamanın sağlanabilmesi için daha fazla çaba sarf edilmesi gerekmektedir. Sınır Kontrol Noktaları’na  (SKN) tam olarak işlerlik kazandırılması konusunda ilerleme sağlanamamıştır. SKN’lerde veterinerlik ve bitki sağlığı kontrollerinin güçlendirilmesi gerekmektedir.</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ind w:firstLine="708"/>
        <w:jc w:val="both"/>
      </w:pPr>
      <w:r w:rsidRPr="0071284B">
        <w:t xml:space="preserve">Hayvanların kimliklendirilmesi ve hareketlerinin kaydı sistemine ilişkin olarak bazı adımlar atılmıştır. Canlı hayvan ticareti yapanların çalışma metotları ve denetlenmesine yönelik prensipleri düzenleyen bir Yönetmeliğin yanı sıra, canlı hayvan ve hayvansal ürünlerin ülke içi dolaşımı ile canlı hayvan piyasalarının yetkilendirilmesi ve denetlenmesine ilişkin kuralları belirleyen birer Yönetmelik de yürürlüğe konmuştur. Sığır türü hayvanların kimliklendirilmesi ve hareketlerinin kaydı konusunda çalışmalar sürdürülmektedir. Ancak sistemin AB müktesebatıyla tam uyumlu şekilde işlemesinin sağlanması gerekmektedir. Koyun ve keçi türü hayvanların kimliklendirilmesi, kaydı ve izlenmesi konusundaki düzenleme ise yürürlüğe girmiştir. </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ind w:firstLine="708"/>
        <w:jc w:val="both"/>
      </w:pPr>
      <w:r w:rsidRPr="0071284B">
        <w:t xml:space="preserve">Başta şap hastalığı olmak üzere hayvan hastalıkları ile mücadele devam etmekte olup, bu alanda bazı uygulama Yönetmelikleri yürürlüğe konmuştur. Anadolu ile Trakya arasında hayvan hareketlerinin sıkı bir şekilde kontrolünün yanı sıra, Türkiye yoğun bir aşılama programı uygulamaya devam etmiştir. Ancak, Trakya bölgesinin şap hastalığından ari statüsü geçici olarak askıya alınmıştır. Hayvan hareketlerinin yetersiz kontrolü sonucu Anadolu’da tespit edilen şap hastalığı vakalarındaki artış endişe verici düzeydedir. Süngerimsi ensefalopati hastalığı ile mücadele ve korunma konusunda bir Yönetmelik kabul edilmiş, ancak bu alandaki müktesebatla tam uyumun ve uygulamanın sağlanması için halen önemli adımların atılmasına ihtiyaç duyulmaktadır. Türkiye hayvan hastalıklarının bildirimini yapmaya devam etmiştir. </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ind w:firstLine="708"/>
        <w:jc w:val="both"/>
      </w:pPr>
      <w:r w:rsidRPr="0071284B">
        <w:t>Ev ve süs hayvanlarının ticari olmayan hareketlerine yönelik hayvan sağlığı gerekliliklerine dair bir Yönetmelik yürürlüğe girmiş olmasına rağmen, bu alandaki genel ilerleme sınırlı kalmıştır. Ulusal kalıntı izleme planının uygulanması ve izlenmesi ile veteriner tıbbi ürünlerin kontrolüne ilişkin olarak belli bir miktar ilerleme sağlanmıştır. Canlı hayvan ve hayvansal ürünlerde birtakım kalıntıların izlenmesine dair önlemlerle ilgili bir Yönetmelik yürürlüğe konmuştur.</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ind w:firstLine="708"/>
        <w:jc w:val="both"/>
      </w:pPr>
      <w:r w:rsidRPr="0071284B">
        <w:t>Zootekni alanında bazı Yönetmelikler kabul edilmiştir. Ayrıca, hayvan refahı müktesebatıyla uyum konusunda bazı gelişmeler kaydedilmiştir. Ancak bu alandaki müktesebatın tam olarak uygulanabilmesi için idari ve yapısal bazı adımların atılması gerekmektedir.</w:t>
      </w:r>
    </w:p>
    <w:p w:rsidR="00D07B09" w:rsidRPr="0071284B" w:rsidRDefault="00D07B09" w:rsidP="00EE0A4A">
      <w:pPr>
        <w:autoSpaceDE w:val="0"/>
        <w:autoSpaceDN w:val="0"/>
        <w:adjustRightInd w:val="0"/>
        <w:jc w:val="both"/>
      </w:pPr>
    </w:p>
    <w:p w:rsidR="00D07B09" w:rsidRDefault="00D07B09" w:rsidP="00EE0A4A">
      <w:pPr>
        <w:autoSpaceDE w:val="0"/>
        <w:autoSpaceDN w:val="0"/>
        <w:adjustRightInd w:val="0"/>
        <w:ind w:firstLine="708"/>
        <w:jc w:val="both"/>
      </w:pPr>
      <w:r w:rsidRPr="0071284B">
        <w:t xml:space="preserve">Gıda, yem ve hayvansal yan ürünlerin piyasaya arzı konusunda bir miktar ilerleme kaydedilmiştir. Bu çerçevede, yoğun eğitimler düzenlenmiş, yıllık denetim ve izleme programlarının uygulanmasına devam edilmiştir.  Hijyen paketinin iç hukuka aktarılmasına ilişkin genel anlamda ilerleme sağlanmıştır. Ancak, uygulamada daha etkin resmi kontrollerin yapılabilmesini teminen idari kapasitenin güçlendirilmesi gerekmektedir. Sorumlu Bakanlık bünyesinde kurulan risk değerlendirme birimi, bilimsel komite ve komisyonlar ile riske dayalı bilimsel bir danışma sisteminin desteklenmesi hedeflenmektedir. </w:t>
      </w:r>
    </w:p>
    <w:p w:rsidR="00D07B09" w:rsidRPr="0071284B" w:rsidRDefault="00D07B09" w:rsidP="00EE0A4A">
      <w:pPr>
        <w:autoSpaceDE w:val="0"/>
        <w:autoSpaceDN w:val="0"/>
        <w:adjustRightInd w:val="0"/>
        <w:ind w:firstLine="708"/>
        <w:jc w:val="both"/>
      </w:pPr>
    </w:p>
    <w:p w:rsidR="00D07B09" w:rsidRPr="0071284B" w:rsidRDefault="00D07B09" w:rsidP="00EE0A4A">
      <w:pPr>
        <w:autoSpaceDE w:val="0"/>
        <w:autoSpaceDN w:val="0"/>
        <w:adjustRightInd w:val="0"/>
        <w:ind w:firstLine="708"/>
        <w:jc w:val="both"/>
      </w:pPr>
      <w:r w:rsidRPr="0071284B">
        <w:t xml:space="preserve">İnsan tüketimi amacıyla kullanılmayan hayvansal yan ürünlere ilişkin bir Yönetmelik kabul edilmiştir. Ancak, sektörün uyum sağlaması ve tam olarak uygulamaya geçilebilmesi için daha fazla çaba sarf edilmelidir. </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ind w:firstLine="708"/>
        <w:jc w:val="both"/>
      </w:pPr>
      <w:r w:rsidRPr="0071284B">
        <w:t>Gıda güvenliği kurallarına ilişkin olarak ilerleme sağlanmıştır. Etiketleme, tatlandırıcıların saflık kriterleri ve gıda katkı maddeleri gibi alanlarda mevzuat uyumu ve uygulama konusunda gelişme kaydedilmiştir. Gıda ile temas eden maddeler hususunda daha fazla çalışmalara ihtiyaç duyulmaktadır. Takviye edici gıda, gıda enzimleri ve yeni gıdalar konularında müktesebat uyumu tamamlanmamıştır. Yemler için özel kurallara ilişkin müktesebat uyumunda ilerleme sağlanmıştır. Yemlerin piyasaya arzı ve kullanımı ile resmi kontrolü için örnekleme ve analiz metotlarına ilişkin Yönetmelikler yürürlüğe konmuştur.</w:t>
      </w:r>
    </w:p>
    <w:p w:rsidR="00D07B09" w:rsidRPr="0071284B" w:rsidRDefault="00D07B09" w:rsidP="00EE0A4A">
      <w:pPr>
        <w:autoSpaceDE w:val="0"/>
        <w:autoSpaceDN w:val="0"/>
        <w:adjustRightInd w:val="0"/>
        <w:jc w:val="both"/>
      </w:pPr>
    </w:p>
    <w:p w:rsidR="00D07B09" w:rsidRDefault="00D07B09" w:rsidP="006979DE">
      <w:pPr>
        <w:autoSpaceDE w:val="0"/>
        <w:autoSpaceDN w:val="0"/>
        <w:adjustRightInd w:val="0"/>
        <w:ind w:firstLine="708"/>
        <w:jc w:val="both"/>
      </w:pPr>
      <w:r w:rsidRPr="0071284B">
        <w:t xml:space="preserve">Bitki sağlığına ilişkin müktesebat uyumu konusunda bir miktar ilerleme sağlanmıştır. Bitki karantinasına dair bir Yönetmelik ile bazı zararlı organizmalara ilişkin uygulama Yönetmeliği kabul edilmiştir. Bitki üretiminde kullanılan Bitki Koruma Ürünlerinin (PPPs) kayıt ve izlenmesine dair yeni Yönetmelik ile AB’de kullanımına izin verilmeyen 159 aktif madde yasaklanmıştır. Bitki pasaportu sistemi tüm türler için uygulanmaya başlamıştır. Tohum ve üretim materyalleri konusunda ilerleme oldukça sınırlı düzeyde kalmıştır. Tohum ithalatının uygulanmasına dair yayımlanan sirküler ise ticaret sapması yaratmıştır.  Genetiği değiştirilmiş organizmalar konusunda kısıtlı bir ilerleme kaydedilmiştir. Bu alandaki laboratuar kapasitesi geliştirilmiştir. </w:t>
      </w:r>
    </w:p>
    <w:p w:rsidR="00D07B09" w:rsidRPr="0071284B" w:rsidRDefault="00D07B09" w:rsidP="00EE0A4A"/>
    <w:p w:rsidR="00D07B09" w:rsidRPr="0071284B" w:rsidRDefault="00D07B09" w:rsidP="00EE0A4A">
      <w:pPr>
        <w:rPr>
          <w:b/>
          <w:bCs/>
        </w:rPr>
      </w:pPr>
      <w:r w:rsidRPr="0071284B">
        <w:rPr>
          <w:b/>
          <w:bCs/>
        </w:rPr>
        <w:t xml:space="preserve">Fasıl 13: </w:t>
      </w:r>
      <w:hyperlink r:id="rId19" w:history="1">
        <w:r w:rsidRPr="0071284B">
          <w:rPr>
            <w:b/>
            <w:bCs/>
          </w:rPr>
          <w:t>Balıkçılık</w:t>
        </w:r>
      </w:hyperlink>
      <w:r w:rsidRPr="0071284B">
        <w:rPr>
          <w:b/>
          <w:bCs/>
        </w:rPr>
        <w:t xml:space="preserve"> </w:t>
      </w:r>
      <w:r w:rsidRPr="0071284B">
        <w:rPr>
          <w:b/>
          <w:bCs/>
        </w:rPr>
        <w:br/>
      </w:r>
    </w:p>
    <w:p w:rsidR="00D07B09" w:rsidRPr="0071284B" w:rsidRDefault="00D07B09" w:rsidP="00EE0A4A">
      <w:pPr>
        <w:ind w:firstLine="708"/>
        <w:jc w:val="both"/>
      </w:pPr>
      <w:r w:rsidRPr="0071284B">
        <w:t>Gıda, Tarım ve Hayvancılık Bakanlığı</w:t>
      </w:r>
      <w:r>
        <w:t>’</w:t>
      </w:r>
      <w:r w:rsidRPr="0071284B">
        <w:t>nın yeniden yapılandırılması ve böylece, Balıkçılık ve Su Ürünleri Genel Müdürlüğü</w:t>
      </w:r>
      <w:r>
        <w:t>’</w:t>
      </w:r>
      <w:r w:rsidRPr="0071284B">
        <w:t>nün kurulmasıyla, idari yapılanma konusunda önemli bir adım atılmıştır. Balıkçılık alanındaki AB müktesebatına uyum sağlanması bakımından ise önemli bir ilerleme kaydedilmemiştir.</w:t>
      </w:r>
    </w:p>
    <w:p w:rsidR="00D07B09" w:rsidRPr="0071284B" w:rsidRDefault="00D07B09" w:rsidP="00EE0A4A">
      <w:pPr>
        <w:jc w:val="both"/>
      </w:pPr>
    </w:p>
    <w:p w:rsidR="00D07B09" w:rsidRPr="0071284B" w:rsidRDefault="00D07B09" w:rsidP="00EE0A4A">
      <w:pPr>
        <w:ind w:firstLine="708"/>
        <w:jc w:val="both"/>
      </w:pPr>
      <w:r w:rsidRPr="0071284B">
        <w:t xml:space="preserve">Kaynak ve filo yönetimi konusunda bazı ilerlemeler kaydedilmiştir. Yeni bir balıkçılık liman ofisi inşaatının ve donanımının tamamlanmasıyla, halihazırdaki toplam balıkçılık liman ofisi sayısı 41’e çıkmıştır. Denetim ve kontrol konularında ilerleme kaydedilmiştir. Yapısal eylemler, piyasa politikası ve devlet destekleri konularında ilerleme kaydedilmemiştir. Uluslararası anlaşmalar konusunda sınırlı ilerleme kaydedilmiştir. </w:t>
      </w:r>
    </w:p>
    <w:p w:rsidR="00D07B09" w:rsidRPr="0071284B" w:rsidRDefault="00D07B09" w:rsidP="00EE0A4A">
      <w:pPr>
        <w:jc w:val="both"/>
      </w:pPr>
    </w:p>
    <w:p w:rsidR="00D07B09" w:rsidRPr="0071284B" w:rsidRDefault="00D07B09" w:rsidP="00EE0A4A">
      <w:pPr>
        <w:ind w:firstLine="708"/>
        <w:jc w:val="both"/>
      </w:pPr>
      <w:r w:rsidRPr="0071284B">
        <w:t>Sonuç olarak; balıkçılık faslında bazı ilerlemeler kaydedilmiştir. İdari yapıların oluşturulmasında, kaynak ve filo yönetiminde, denetim, kontrol ve uluslararası anlaşmalarda bazı ilerlemeler sağlanmıştır. Ancak, mevzuat uyumu, pazar politikası, yapısal eylem ve devlet destekleri konularında hala ilave çabalara ihtiyaç bulunmaktadır. Genel hazırlık durumu düşük düzeydedir.</w:t>
      </w:r>
    </w:p>
    <w:p w:rsidR="00D07B09" w:rsidRPr="0071284B" w:rsidRDefault="00D07B09" w:rsidP="00EE0A4A"/>
    <w:p w:rsidR="00D07B09" w:rsidRPr="0071284B" w:rsidRDefault="00D07B09" w:rsidP="00EE0A4A">
      <w:pPr>
        <w:rPr>
          <w:b/>
          <w:bCs/>
        </w:rPr>
      </w:pPr>
      <w:r w:rsidRPr="0071284B">
        <w:rPr>
          <w:b/>
          <w:bCs/>
        </w:rPr>
        <w:t xml:space="preserve">Fasıl 14: </w:t>
      </w:r>
      <w:hyperlink r:id="rId20" w:history="1">
        <w:r w:rsidRPr="0071284B">
          <w:rPr>
            <w:b/>
            <w:bCs/>
          </w:rPr>
          <w:t>Taşımacılık Politikası</w:t>
        </w:r>
      </w:hyperlink>
      <w:r w:rsidRPr="0071284B">
        <w:rPr>
          <w:b/>
          <w:bCs/>
        </w:rPr>
        <w:t xml:space="preserve"> </w:t>
      </w:r>
      <w:r w:rsidRPr="0071284B">
        <w:rPr>
          <w:b/>
          <w:bCs/>
        </w:rPr>
        <w:br/>
      </w:r>
    </w:p>
    <w:p w:rsidR="00D07B09" w:rsidRPr="0071284B" w:rsidRDefault="00D07B09" w:rsidP="00EE0A4A">
      <w:pPr>
        <w:ind w:firstLine="708"/>
        <w:jc w:val="both"/>
      </w:pPr>
      <w:r w:rsidRPr="0071284B">
        <w:t>Ulaştırma Bakanlığı Kasım 2011'de Ulaştırma, Denizcilik ve Haberleşme Bakanlığı'na dönüştürül</w:t>
      </w:r>
      <w:r>
        <w:t>müş</w:t>
      </w:r>
      <w:r w:rsidRPr="0071284B">
        <w:t>, söz konusu değişiklik ile Bakanlığın düzenleyici kapasitesi güçlendiril</w:t>
      </w:r>
      <w:r>
        <w:t>miştir.</w:t>
      </w:r>
      <w:r w:rsidRPr="0071284B">
        <w:t xml:space="preserve"> </w:t>
      </w:r>
    </w:p>
    <w:p w:rsidR="00D07B09" w:rsidRPr="0071284B" w:rsidRDefault="00D07B09" w:rsidP="00EE0A4A">
      <w:pPr>
        <w:jc w:val="both"/>
      </w:pPr>
    </w:p>
    <w:p w:rsidR="00D07B09" w:rsidRPr="0071284B" w:rsidRDefault="00D07B09" w:rsidP="00EE0A4A">
      <w:pPr>
        <w:ind w:firstLine="708"/>
        <w:jc w:val="both"/>
      </w:pPr>
      <w:r w:rsidRPr="0071284B">
        <w:t>Türkiye tarafından karayolu taşımacılığında birtakım ilerlemeler kaydedil</w:t>
      </w:r>
      <w:r>
        <w:t>miştir.</w:t>
      </w:r>
      <w:r w:rsidRPr="0071284B">
        <w:t xml:space="preserve"> Bu çerçevede, sürücü ehliyetlerinin AB standartlarına uyumunun sağlanması yönündeki hazırlık çalışmaları</w:t>
      </w:r>
      <w:r>
        <w:t xml:space="preserve"> tamamlanmak üzeredir. A</w:t>
      </w:r>
      <w:r w:rsidRPr="0071284B">
        <w:t>yrıca dijital takograf sisteminin uygulanmasına ilişkin tüm süre</w:t>
      </w:r>
      <w:r>
        <w:t>ç</w:t>
      </w:r>
      <w:r w:rsidRPr="0071284B">
        <w:t xml:space="preserve"> etkili bir şekilde çalışmakta</w:t>
      </w:r>
      <w:r>
        <w:t>dır.</w:t>
      </w:r>
      <w:r w:rsidRPr="0071284B">
        <w:t xml:space="preserve"> Yol güvenliği alanında, 1986 öncesinde üretilen ticari araçların hurdaya ayrılması yönündeki çalışmalar olumlu</w:t>
      </w:r>
      <w:r>
        <w:t>dur. Öte yandan,</w:t>
      </w:r>
      <w:r w:rsidRPr="0071284B">
        <w:t xml:space="preserve"> karayolu taşımacılığı operatörleri ve karayolu </w:t>
      </w:r>
      <w:r>
        <w:t>taşımacılığı piyasasına erişimin</w:t>
      </w:r>
      <w:r w:rsidRPr="0071284B">
        <w:t xml:space="preserve"> AB müktesebatı ile uyumlu olması gerek</w:t>
      </w:r>
      <w:r>
        <w:t>mektedir.</w:t>
      </w:r>
    </w:p>
    <w:p w:rsidR="00D07B09" w:rsidRPr="0071284B" w:rsidRDefault="00D07B09" w:rsidP="00EE0A4A">
      <w:pPr>
        <w:jc w:val="both"/>
      </w:pPr>
    </w:p>
    <w:p w:rsidR="00D07B09" w:rsidRPr="0071284B" w:rsidRDefault="00D07B09" w:rsidP="00EE0A4A">
      <w:pPr>
        <w:ind w:firstLine="708"/>
        <w:jc w:val="both"/>
      </w:pPr>
      <w:r w:rsidRPr="0071284B">
        <w:t>Demiryolu taşımacılığı alanında çok az ilerleme kaydedil</w:t>
      </w:r>
      <w:r>
        <w:t>miştir. K</w:t>
      </w:r>
      <w:r w:rsidRPr="0071284B">
        <w:t>onuyla ilgili olarak yeni bir Demiryolları Düzenleme Genel Müdürlüğü tesis edil</w:t>
      </w:r>
      <w:r>
        <w:t>miştir.</w:t>
      </w:r>
      <w:r w:rsidRPr="0071284B">
        <w:t xml:space="preserve"> Demiryolu taşımacılık reformu daha kapsamlı bir demiryolları kanununa ihtiyaç duy</w:t>
      </w:r>
      <w:r>
        <w:t>maktadır.</w:t>
      </w:r>
      <w:r w:rsidRPr="0071284B">
        <w:t xml:space="preserve"> Demiryolları reformuna ilişkin önemli stratejik kararlar halen Bakan seviyesinde bekleme</w:t>
      </w:r>
      <w:r>
        <w:t>ktedir.</w:t>
      </w:r>
      <w:r w:rsidRPr="0071284B">
        <w:t xml:space="preserve"> Demiryolu güvenliğine ilişkin bir güvenlik birimi ile kaza inceleme organı henüz kurulma</w:t>
      </w:r>
      <w:r>
        <w:t xml:space="preserve">mıştır. </w:t>
      </w:r>
      <w:r w:rsidRPr="0071284B">
        <w:t>AB müktesebatı ile uyuma yönelik daha fazla çaba gösterilmesi gerek</w:t>
      </w:r>
      <w:r>
        <w:t>mektedir.</w:t>
      </w:r>
      <w:r w:rsidRPr="0071284B">
        <w:t xml:space="preserve"> </w:t>
      </w:r>
    </w:p>
    <w:p w:rsidR="00D07B09" w:rsidRPr="0071284B" w:rsidRDefault="00D07B09" w:rsidP="00EE0A4A">
      <w:pPr>
        <w:jc w:val="both"/>
      </w:pPr>
    </w:p>
    <w:p w:rsidR="00D07B09" w:rsidRPr="0071284B" w:rsidRDefault="00D07B09" w:rsidP="00EE0A4A">
      <w:pPr>
        <w:ind w:firstLine="708"/>
        <w:jc w:val="both"/>
      </w:pPr>
      <w:r w:rsidRPr="0071284B">
        <w:t>Öte yandan, iç sularda taşımacılık konusunda, Van Gölü ve Atatür</w:t>
      </w:r>
      <w:r>
        <w:t>k Barajı'nda ticari uygulamalar</w:t>
      </w:r>
      <w:r w:rsidRPr="0071284B">
        <w:t xml:space="preserve"> hayata geçir</w:t>
      </w:r>
      <w:r>
        <w:t>ilmiştir. Bu n</w:t>
      </w:r>
      <w:r w:rsidRPr="0071284B">
        <w:t>edenle bu alanda mevzuat uyumunu</w:t>
      </w:r>
      <w:r>
        <w:t>n</w:t>
      </w:r>
      <w:r w:rsidRPr="0071284B">
        <w:t xml:space="preserve"> gerçekleştir</w:t>
      </w:r>
      <w:r>
        <w:t>il</w:t>
      </w:r>
      <w:r w:rsidRPr="0071284B">
        <w:t>mesi gerek</w:t>
      </w:r>
      <w:r>
        <w:t>mektedir.</w:t>
      </w:r>
    </w:p>
    <w:p w:rsidR="00D07B09" w:rsidRPr="0071284B" w:rsidRDefault="00D07B09" w:rsidP="00EE0A4A">
      <w:pPr>
        <w:jc w:val="both"/>
      </w:pPr>
    </w:p>
    <w:p w:rsidR="00D07B09" w:rsidRPr="0071284B" w:rsidRDefault="00D07B09" w:rsidP="00EE0A4A">
      <w:pPr>
        <w:ind w:firstLine="708"/>
        <w:jc w:val="both"/>
      </w:pPr>
      <w:r w:rsidRPr="0071284B">
        <w:t>Kombine taşımacılık alanında sınırlı bir ilerleme kaydedil</w:t>
      </w:r>
      <w:r>
        <w:t xml:space="preserve">miştir. </w:t>
      </w:r>
      <w:r w:rsidRPr="0071284B">
        <w:t>Tehlikeli Mal ve Kombine Taşımacılık Düzenleme Genel Müdürlüğü kurul</w:t>
      </w:r>
      <w:r>
        <w:t>muştur.</w:t>
      </w:r>
    </w:p>
    <w:p w:rsidR="00D07B09" w:rsidRPr="0071284B" w:rsidRDefault="00D07B09" w:rsidP="00EE0A4A">
      <w:pPr>
        <w:jc w:val="both"/>
      </w:pPr>
    </w:p>
    <w:p w:rsidR="00D07B09" w:rsidRPr="0071284B" w:rsidRDefault="00D07B09" w:rsidP="00EE0A4A">
      <w:pPr>
        <w:ind w:firstLine="708"/>
        <w:jc w:val="both"/>
      </w:pPr>
      <w:r w:rsidRPr="0071284B">
        <w:t>Hava ulaştırması alanında ise bir miktar ilerlemeden söz etme</w:t>
      </w:r>
      <w:r>
        <w:t>k mümkündür. B</w:t>
      </w:r>
      <w:r w:rsidRPr="0071284B">
        <w:t>u kapsamda, Türkiye'nin AB Havacılık Sistemine tam uyum sağlamak yönündeki niyet beyanı üzerine bu alanda bir diyalog başlatıl</w:t>
      </w:r>
      <w:r>
        <w:t>mıştır. A</w:t>
      </w:r>
      <w:r w:rsidRPr="0071284B">
        <w:t>ncak havacılık alanındaki ilişkilerde yeni bir yasal zemin oluşturacak olan AB-Türkiye yatay havacılık anlaşmasının imzalanması halen sonuçlandırılma</w:t>
      </w:r>
      <w:r>
        <w:t>mıştır.</w:t>
      </w:r>
    </w:p>
    <w:p w:rsidR="00D07B09" w:rsidRPr="0071284B" w:rsidRDefault="00D07B09" w:rsidP="00EE0A4A">
      <w:pPr>
        <w:jc w:val="both"/>
      </w:pPr>
    </w:p>
    <w:p w:rsidR="00D07B09" w:rsidRPr="0071284B" w:rsidRDefault="00D07B09" w:rsidP="00EE0A4A">
      <w:pPr>
        <w:ind w:firstLine="708"/>
        <w:jc w:val="both"/>
      </w:pPr>
      <w:r w:rsidRPr="0071284B">
        <w:t>Ayrıca, Türkiye ve Güney Kıbrıs Rum Yönetimi (GKRY) hava trafik kontrol merkezleri arasındaki iletişim eksikliği hava güvenliğini ciddi şekilde tehlikeye atmaya devam et</w:t>
      </w:r>
      <w:r>
        <w:t xml:space="preserve">mektedir. Bu </w:t>
      </w:r>
      <w:r w:rsidRPr="0071284B">
        <w:t>konuda işlevsel bir çözümün en kısa sürede bulunması gerek</w:t>
      </w:r>
      <w:r>
        <w:t>mektedir.</w:t>
      </w:r>
    </w:p>
    <w:p w:rsidR="00D07B09" w:rsidRPr="0071284B" w:rsidRDefault="00D07B09" w:rsidP="00EE0A4A">
      <w:pPr>
        <w:jc w:val="both"/>
      </w:pPr>
    </w:p>
    <w:p w:rsidR="00D07B09" w:rsidRPr="0071284B" w:rsidRDefault="00D07B09" w:rsidP="00EE0A4A">
      <w:pPr>
        <w:ind w:firstLine="708"/>
        <w:jc w:val="both"/>
      </w:pPr>
      <w:r w:rsidRPr="0071284B">
        <w:t>Deniz ulaştırması alanlarında da olumlu ilerlemeler kaydedil</w:t>
      </w:r>
      <w:r>
        <w:t>miştir. B</w:t>
      </w:r>
      <w:r w:rsidRPr="0071284B">
        <w:t>u kapsamda, Denizcilik İşleri Genel Müdürlüğü tarafından tehlikeli ve zararlı maddelerin güvenliğine ilişkin düzenlemeler hayata geçiril</w:t>
      </w:r>
      <w:r>
        <w:t>miştir.</w:t>
      </w:r>
      <w:r w:rsidRPr="0071284B">
        <w:t xml:space="preserve"> </w:t>
      </w:r>
    </w:p>
    <w:p w:rsidR="00D07B09" w:rsidRPr="0071284B" w:rsidRDefault="00D07B09" w:rsidP="00EE0A4A">
      <w:pPr>
        <w:jc w:val="both"/>
      </w:pPr>
    </w:p>
    <w:p w:rsidR="00D07B09" w:rsidRPr="0071284B" w:rsidRDefault="00D07B09" w:rsidP="00EE0A4A">
      <w:pPr>
        <w:ind w:firstLine="708"/>
        <w:jc w:val="both"/>
      </w:pPr>
      <w:r w:rsidRPr="0071284B">
        <w:t>Uydu navigasyonu alanındaki düzenlemelerin üyelik sonrasında doğrudan uygulanacak olması nedeniyle bu alanda özel bir müktesebat uyum zorunluluğu bulunma</w:t>
      </w:r>
      <w:r>
        <w:t>maktadır.</w:t>
      </w:r>
    </w:p>
    <w:p w:rsidR="00D07B09" w:rsidRPr="0071284B" w:rsidRDefault="00D07B09" w:rsidP="00EE0A4A">
      <w:pPr>
        <w:jc w:val="both"/>
      </w:pPr>
    </w:p>
    <w:p w:rsidR="00D07B09" w:rsidRPr="0071284B" w:rsidRDefault="00D07B09" w:rsidP="00EE0A4A">
      <w:pPr>
        <w:ind w:firstLine="708"/>
        <w:jc w:val="both"/>
      </w:pPr>
      <w:r w:rsidRPr="0071284B">
        <w:t>Ayrıca, ulaştırma sektöründe bazı olumlu gelişmelerin kaydedil</w:t>
      </w:r>
      <w:r>
        <w:t>miştir. D</w:t>
      </w:r>
      <w:r w:rsidRPr="0071284B">
        <w:t>emiryolu ve deniz taşımacılığında yakın zamanda kabul edilen AB mevzuat paketlerini</w:t>
      </w:r>
      <w:r>
        <w:t>n</w:t>
      </w:r>
      <w:r w:rsidRPr="0071284B">
        <w:t xml:space="preserve"> uyumlaştır</w:t>
      </w:r>
      <w:r>
        <w:t>ıl</w:t>
      </w:r>
      <w:r w:rsidRPr="0071284B">
        <w:t>ması ve bu alandaki insan kaynakları ve müktesebata uyum konusunda teknik kapasitesini</w:t>
      </w:r>
      <w:r>
        <w:t>n</w:t>
      </w:r>
      <w:r w:rsidRPr="0071284B">
        <w:t xml:space="preserve"> geliştir</w:t>
      </w:r>
      <w:r>
        <w:t>il</w:t>
      </w:r>
      <w:r w:rsidRPr="0071284B">
        <w:t xml:space="preserve">mesi </w:t>
      </w:r>
      <w:r>
        <w:t>gerekmektedir. T</w:t>
      </w:r>
      <w:r w:rsidRPr="0071284B">
        <w:t>ehlikeli mallar ve deniz taşımacı</w:t>
      </w:r>
      <w:r>
        <w:t>lı</w:t>
      </w:r>
      <w:r w:rsidRPr="0071284B">
        <w:t xml:space="preserve">ğında ortaya çıkabilecek acil durumlara karşı hazırlıklı olunmasına yönelik çalışmaların güçlendirilmesi </w:t>
      </w:r>
      <w:r>
        <w:t xml:space="preserve">gerekmektedir. </w:t>
      </w:r>
    </w:p>
    <w:p w:rsidR="00D07B09" w:rsidRPr="0071284B" w:rsidRDefault="00D07B09" w:rsidP="00EE0A4A"/>
    <w:p w:rsidR="00D07B09" w:rsidRPr="0071284B" w:rsidRDefault="00D07B09" w:rsidP="00EE0A4A">
      <w:pPr>
        <w:rPr>
          <w:b/>
          <w:bCs/>
        </w:rPr>
      </w:pPr>
      <w:r w:rsidRPr="0071284B">
        <w:rPr>
          <w:b/>
          <w:bCs/>
        </w:rPr>
        <w:t xml:space="preserve">Fasıl 15: </w:t>
      </w:r>
      <w:hyperlink r:id="rId21" w:history="1">
        <w:r w:rsidRPr="0071284B">
          <w:rPr>
            <w:b/>
            <w:bCs/>
          </w:rPr>
          <w:t>Enerji</w:t>
        </w:r>
      </w:hyperlink>
      <w:r w:rsidRPr="0071284B">
        <w:rPr>
          <w:b/>
          <w:bCs/>
        </w:rPr>
        <w:t xml:space="preserve"> </w:t>
      </w:r>
      <w:r w:rsidRPr="0071284B">
        <w:rPr>
          <w:b/>
          <w:bCs/>
        </w:rPr>
        <w:br/>
      </w:r>
    </w:p>
    <w:p w:rsidR="00D07B09" w:rsidRPr="0071284B" w:rsidRDefault="00D07B09" w:rsidP="00EE0A4A">
      <w:pPr>
        <w:autoSpaceDE w:val="0"/>
        <w:autoSpaceDN w:val="0"/>
        <w:adjustRightInd w:val="0"/>
        <w:ind w:firstLine="708"/>
        <w:jc w:val="both"/>
      </w:pPr>
      <w:r w:rsidRPr="0071284B">
        <w:t xml:space="preserve">Arz güvenliği konusunda bazı ilerlemeler kaydedilmiştir. Türkiye ve Azerbaycan, Ekim 2011’de, doğal gaz satışı ve Türkiye’den transit geçişi ile ilgili hükümetlerarası bir anlaşma imzalamıştır. Komşu ülkelerle elektrik enterkoneksiyonun oluşturulmasına yönelik çalışmalar sürdürülmektedir. </w:t>
      </w:r>
    </w:p>
    <w:p w:rsidR="00D07B09" w:rsidRPr="0071284B" w:rsidRDefault="00D07B09" w:rsidP="00EE0A4A">
      <w:pPr>
        <w:autoSpaceDE w:val="0"/>
        <w:autoSpaceDN w:val="0"/>
        <w:adjustRightInd w:val="0"/>
        <w:ind w:firstLine="708"/>
        <w:jc w:val="both"/>
      </w:pPr>
    </w:p>
    <w:p w:rsidR="00D07B09" w:rsidRPr="0071284B" w:rsidRDefault="00D07B09" w:rsidP="00EE0A4A">
      <w:pPr>
        <w:autoSpaceDE w:val="0"/>
        <w:autoSpaceDN w:val="0"/>
        <w:adjustRightInd w:val="0"/>
        <w:ind w:firstLine="708"/>
        <w:jc w:val="both"/>
      </w:pPr>
      <w:r w:rsidRPr="0071284B">
        <w:t>Enerji iç piyasasıyla ilgili olarak, elektrik konusunda bazı ilerlemeler mevcuttur. Ayrıca, yenilenebilir enerji konusunda da mesafe kaydedilmiştir. Enerji verimliliği konusunda ise önemli gelişmeler sağlanmıştır. Nükleer enerji, nükleer güvenlik ve radyasyondan korunma konularında gelişme ise düzensizdir.</w:t>
      </w:r>
    </w:p>
    <w:p w:rsidR="00D07B09" w:rsidRPr="0071284B" w:rsidRDefault="00D07B09" w:rsidP="00EE0A4A">
      <w:pPr>
        <w:autoSpaceDE w:val="0"/>
        <w:autoSpaceDN w:val="0"/>
        <w:adjustRightInd w:val="0"/>
        <w:ind w:firstLine="708"/>
        <w:jc w:val="both"/>
      </w:pPr>
    </w:p>
    <w:p w:rsidR="00D07B09" w:rsidRPr="0071284B" w:rsidRDefault="00D07B09" w:rsidP="00EE0A4A">
      <w:pPr>
        <w:ind w:firstLine="708"/>
        <w:jc w:val="both"/>
      </w:pPr>
      <w:r w:rsidRPr="0071284B">
        <w:t>Özetle, Türkiye, enerji alanındaki uyum konusunda nispeten ileri düzeydedir.</w:t>
      </w:r>
    </w:p>
    <w:p w:rsidR="00D07B09" w:rsidRPr="0071284B" w:rsidRDefault="00D07B09" w:rsidP="00EE0A4A">
      <w:pPr>
        <w:rPr>
          <w:b/>
          <w:bCs/>
        </w:rPr>
      </w:pPr>
    </w:p>
    <w:p w:rsidR="00D07B09" w:rsidRPr="0071284B" w:rsidRDefault="00D07B09" w:rsidP="00EE0A4A">
      <w:pPr>
        <w:rPr>
          <w:b/>
          <w:bCs/>
        </w:rPr>
      </w:pPr>
      <w:r w:rsidRPr="0071284B">
        <w:rPr>
          <w:b/>
          <w:bCs/>
        </w:rPr>
        <w:t xml:space="preserve">Fasıl 16: </w:t>
      </w:r>
      <w:hyperlink r:id="rId22" w:history="1">
        <w:r w:rsidRPr="0071284B">
          <w:rPr>
            <w:b/>
            <w:bCs/>
          </w:rPr>
          <w:t>Vergilendirme</w:t>
        </w:r>
      </w:hyperlink>
      <w:r w:rsidRPr="0071284B">
        <w:rPr>
          <w:b/>
          <w:bCs/>
        </w:rPr>
        <w:t xml:space="preserve"> </w:t>
      </w:r>
      <w:r w:rsidRPr="0071284B">
        <w:rPr>
          <w:b/>
          <w:bCs/>
        </w:rPr>
        <w:br/>
      </w:r>
    </w:p>
    <w:p w:rsidR="00D07B09" w:rsidRPr="0071284B" w:rsidRDefault="00D07B09" w:rsidP="00EE0A4A">
      <w:pPr>
        <w:ind w:firstLine="708"/>
        <w:jc w:val="both"/>
      </w:pPr>
      <w:r w:rsidRPr="0071284B">
        <w:t>Dolaylı vergilendirme konusunda herhangi bir ilerleme kaydedilme</w:t>
      </w:r>
      <w:r>
        <w:t>miştir.</w:t>
      </w:r>
      <w:r w:rsidRPr="0071284B">
        <w:t xml:space="preserve"> Katma Değer Vergisi (KDV) Mevzuatında yapılan değişiklikler ile bir dizi mal ve hizmette KDV</w:t>
      </w:r>
      <w:r>
        <w:t xml:space="preserve"> </w:t>
      </w:r>
      <w:r w:rsidRPr="0071284B">
        <w:t>%1'e indir</w:t>
      </w:r>
      <w:r>
        <w:t xml:space="preserve">ilmiştir. </w:t>
      </w:r>
      <w:r w:rsidRPr="0071284B">
        <w:t>Üçüncü bir KDV oranının yürürlüğe konulması, AB müktesebatından geri adım olarak değerlendirilmiştir. İndirimli oranlara ilişkin yapı, muafiyetler, özel planlar ve uygulamaların</w:t>
      </w:r>
      <w:r>
        <w:t>ın</w:t>
      </w:r>
      <w:r w:rsidRPr="0071284B">
        <w:t xml:space="preserve"> daha fazla uyumlaştırılması gerek</w:t>
      </w:r>
      <w:r>
        <w:t>mektedir.</w:t>
      </w:r>
    </w:p>
    <w:p w:rsidR="00D07B09" w:rsidRPr="0071284B" w:rsidRDefault="00D07B09" w:rsidP="00EE0A4A">
      <w:pPr>
        <w:jc w:val="both"/>
      </w:pPr>
    </w:p>
    <w:p w:rsidR="00D07B09" w:rsidRPr="0071284B" w:rsidRDefault="00D07B09" w:rsidP="00EE0A4A">
      <w:pPr>
        <w:ind w:firstLine="708"/>
        <w:jc w:val="both"/>
      </w:pPr>
      <w:r w:rsidRPr="0071284B">
        <w:t>Özel Tüketim Vergilerine ilişkin bazı ilerlemeler kaydedilmiştir. 2009 tarihinde kabul edilen eylem planı doğrultusunda, Türkiye ithal tütüne uygulanan tütün fonu vergisini düşürmüştür. Bununla birlikte, özel tüketim vergilerinde Haziran 2012 tarihinde yapılan değişiklikler ile getirilen tütün üzerindeki ÖTV'nin yapısı ve vergiye konu miktarın hesaplama yöntemi AB müktesebatı ile uyumsuz olmaya devam etmektedir.</w:t>
      </w:r>
    </w:p>
    <w:p w:rsidR="00D07B09" w:rsidRPr="0071284B" w:rsidRDefault="00D07B09" w:rsidP="00EE0A4A">
      <w:pPr>
        <w:jc w:val="both"/>
      </w:pPr>
    </w:p>
    <w:p w:rsidR="00D07B09" w:rsidRPr="0071284B" w:rsidRDefault="00D07B09" w:rsidP="00EE0A4A">
      <w:pPr>
        <w:ind w:firstLine="708"/>
        <w:jc w:val="both"/>
      </w:pPr>
      <w:r w:rsidRPr="0071284B">
        <w:t xml:space="preserve">Alkollü içeceklerin vergilendirilmesi konusunda herhangi bir gelişme kaydedilmemiştir. İthal ürünler için belirlenen vergi, eşdeğer yerli ürünlere göre daha yüksektir. Aslında 2009 yılında kabul edilen Eylem Planı ile ayrımcı vergilendirmenin aşamalı olarak kaldırılmasına yönelik açık hedefler ortaya konulmuştur. Bu alandaki gelişmeler bu fasılda ilerlemenin sağlanması bakımından anahtar konumda bulunmaktadır. </w:t>
      </w:r>
    </w:p>
    <w:p w:rsidR="00D07B09" w:rsidRPr="0071284B" w:rsidRDefault="00D07B09" w:rsidP="00EE0A4A">
      <w:pPr>
        <w:jc w:val="both"/>
      </w:pPr>
    </w:p>
    <w:p w:rsidR="00D07B09" w:rsidRPr="0071284B" w:rsidRDefault="00D07B09" w:rsidP="00EE0A4A">
      <w:pPr>
        <w:ind w:firstLine="708"/>
        <w:jc w:val="both"/>
      </w:pPr>
      <w:r w:rsidRPr="0071284B">
        <w:t xml:space="preserve">AB müktesebatı ile Türk mevzuatı arasında özel tüketim vergilerine ilişkin yapısal uyumsuzluklar devam etmektedir. Türkiye’nin üyelik öncesinde, iç piyasa hareketleri ve mali antrepolar için gümrük vergilerinin askıya alınması rejimini uygulamaya koyması gerekmektedir. </w:t>
      </w:r>
    </w:p>
    <w:p w:rsidR="00D07B09" w:rsidRPr="0071284B" w:rsidRDefault="00D07B09" w:rsidP="00EE0A4A">
      <w:pPr>
        <w:jc w:val="both"/>
      </w:pPr>
    </w:p>
    <w:p w:rsidR="00D07B09" w:rsidRPr="0071284B" w:rsidRDefault="00D07B09" w:rsidP="00EE0A4A">
      <w:pPr>
        <w:ind w:firstLine="708"/>
        <w:jc w:val="both"/>
      </w:pPr>
      <w:r w:rsidRPr="0071284B">
        <w:t xml:space="preserve">Doğrudan vergilendirme konusunda bir ilerleme kaydedilmemiştir. İdari İşbirliği ve karşılıklı yardımlaşma konularında sınırlı gelişmeler mevcuttur. Çıkarılan kararname ile vergi ile ilgili denetim yapmakta olan idari birimlerin Maliye Bakanlığı bünyesinde Vergi Denetim Kurulu Başkanlığı adı altında toplamış olması, vergi denetim planlaması ve uygulamalarındaki ahengin sağlanması bakımından olumlu bir adım olarak değerlendirilmiştir. </w:t>
      </w:r>
    </w:p>
    <w:p w:rsidR="00D07B09" w:rsidRPr="0071284B" w:rsidRDefault="00D07B09" w:rsidP="00EE0A4A">
      <w:pPr>
        <w:jc w:val="both"/>
      </w:pPr>
    </w:p>
    <w:p w:rsidR="00D07B09" w:rsidRPr="0071284B" w:rsidRDefault="00D07B09" w:rsidP="00EE0A4A">
      <w:pPr>
        <w:ind w:firstLine="708"/>
        <w:jc w:val="both"/>
      </w:pPr>
      <w:r w:rsidRPr="0071284B">
        <w:t>Uygulama kapasitesi ve bilgisayar ortamına geçiş konularında olumlu ilerlemeler kaydedilmiştir. Gelir İdaresi tarafından vergi mükelleflerinin vergi borçları, gecikmeleri ve cezalarının yeniden yapılandırılmasına imkân tanımıştır. Kayıt dışı ekonomi ile mücadele eylem planı çerçevesinde, vergi mükelleflerinin elektronik ortamda kayıt işlemlerine Nisan 2012 tarihinde başlanılmıştır.</w:t>
      </w:r>
    </w:p>
    <w:p w:rsidR="00D07B09" w:rsidRPr="0071284B" w:rsidRDefault="00D07B09" w:rsidP="00EE0A4A">
      <w:pPr>
        <w:jc w:val="both"/>
      </w:pPr>
    </w:p>
    <w:p w:rsidR="00D07B09" w:rsidRPr="0071284B" w:rsidRDefault="00D07B09" w:rsidP="00EE0A4A">
      <w:pPr>
        <w:ind w:firstLine="708"/>
        <w:jc w:val="both"/>
      </w:pPr>
      <w:r>
        <w:t>Sonuç olarak</w:t>
      </w:r>
      <w:r w:rsidRPr="0071284B">
        <w:t>, AB müktesebatıyla süregelen uyumsuzluklara rağmen, başta tütün üzerindeki ayrımcı vergilendirmenin kaldırılmasına yönelik gelişmeler ile idari işbirliği ve karşılıklı yardımlaşma konularında olmak üzere, mevzuat uyumuna yönelik bazı ilerlemeler kaydedil</w:t>
      </w:r>
      <w:r>
        <w:t>miştir.</w:t>
      </w:r>
      <w:r w:rsidRPr="0071284B">
        <w:t xml:space="preserve"> Ancak, alkollü içecekler üzerindeki vergilere yönelik ithal ve yerli ürünler arasındaki farklılıkların eylem planı doğrultusunda kaldırılmasına yönelik</w:t>
      </w:r>
      <w:r>
        <w:t xml:space="preserve"> çabaların artırılması gerekmektedir.</w:t>
      </w:r>
      <w:r w:rsidRPr="0071284B">
        <w:t xml:space="preserve"> Vergilendirmede ayrımcı uygulamaların kaldırılması, bu fasıl ile ilgili katılım müzakerelerinde daha fazla ilerleme sağlanması için anahtar bir unsurdur. Doğrudan vergilendirme konusunda ilerleme kaydedilmemiştir. Bu fasıldaki uyum çalışmalarında nispeten ilerleme sağlan</w:t>
      </w:r>
      <w:r>
        <w:t>mıştır.</w:t>
      </w:r>
    </w:p>
    <w:p w:rsidR="00D07B09" w:rsidRPr="0071284B" w:rsidRDefault="00D07B09" w:rsidP="00EE0A4A">
      <w:pPr>
        <w:rPr>
          <w:b/>
          <w:bCs/>
        </w:rPr>
      </w:pPr>
    </w:p>
    <w:p w:rsidR="00D07B09" w:rsidRPr="0071284B" w:rsidRDefault="00D07B09" w:rsidP="00EE0A4A">
      <w:pPr>
        <w:rPr>
          <w:b/>
          <w:bCs/>
        </w:rPr>
      </w:pPr>
      <w:r w:rsidRPr="0071284B">
        <w:rPr>
          <w:b/>
          <w:bCs/>
        </w:rPr>
        <w:t xml:space="preserve">Fasıl 17: </w:t>
      </w:r>
      <w:hyperlink r:id="rId23" w:history="1">
        <w:r w:rsidRPr="0071284B">
          <w:rPr>
            <w:b/>
            <w:bCs/>
          </w:rPr>
          <w:t>Ekonomik ve Parasal Politika</w:t>
        </w:r>
      </w:hyperlink>
      <w:r w:rsidRPr="0071284B">
        <w:rPr>
          <w:b/>
          <w:bCs/>
        </w:rPr>
        <w:t xml:space="preserve"> </w:t>
      </w:r>
      <w:r w:rsidRPr="0071284B">
        <w:rPr>
          <w:b/>
          <w:bCs/>
        </w:rPr>
        <w:br/>
      </w:r>
    </w:p>
    <w:p w:rsidR="00D07B09" w:rsidRPr="0071284B" w:rsidRDefault="00D07B09" w:rsidP="00EE0A4A">
      <w:pPr>
        <w:ind w:firstLine="708"/>
        <w:jc w:val="both"/>
      </w:pPr>
      <w:r w:rsidRPr="0071284B">
        <w:t>Para politikası konusunda bazı ilerlemeler kaydedilmiştir. 2011 yılı sonunda, tüketici fiyatları enflasyonu, % 10,45’lik oranla, Merkez Bankası’nın, 2011 yılı için öngörülen % 5,5’lik enflasyon hedefinin üzerine çıkmıştır. Merkez Bankası’nın uyguladığı politika araçları arasında; faiz koridoru, mevduat ihtiyat miktarları, döviz alım ve satım ihaleleri bulunmaktadır. Portföy çıkışları ve Türk lirasının aşırı değer kaybetmesiyle birlikte, Merkez Bankası, piyasaları dengelemek için, faiz koridorunu genişletip, mevduat ihtiyat miktarlarını azaltıp, döviz ihalelerine başlamıştır.</w:t>
      </w:r>
    </w:p>
    <w:p w:rsidR="00D07B09" w:rsidRPr="0071284B" w:rsidRDefault="00D07B09" w:rsidP="00EE0A4A">
      <w:pPr>
        <w:jc w:val="both"/>
      </w:pPr>
    </w:p>
    <w:p w:rsidR="00D07B09" w:rsidRPr="0071284B" w:rsidRDefault="00D07B09" w:rsidP="00EE0A4A">
      <w:pPr>
        <w:ind w:firstLine="708"/>
        <w:jc w:val="both"/>
      </w:pPr>
      <w:r w:rsidRPr="0071284B">
        <w:t>Merkez Bankası, enflasyon hedefini Hükümet ile birlikte belirlemektedir. Merkez Bankası Kanunu, Bankanın bağımsızlığını tam olarak sağlamamaktadır. Stopaj vergisi oranları bakımından, yatırımcı koruma fonuna ilişkin yönetmelikte yer alan hükümler ve kamu sektörü ve özel sektör borçlanma araçlarına yapılan ayrımcı muamele, kamu sektörünün finansal kuruluşlara imtiyazlı erişim yasağı ile uyumlu değildir.</w:t>
      </w:r>
    </w:p>
    <w:p w:rsidR="00D07B09" w:rsidRPr="003B3020" w:rsidRDefault="00D07B09" w:rsidP="00EE0A4A">
      <w:pPr>
        <w:jc w:val="both"/>
        <w:rPr>
          <w:sz w:val="20"/>
          <w:szCs w:val="20"/>
        </w:rPr>
      </w:pPr>
    </w:p>
    <w:p w:rsidR="00D07B09" w:rsidRPr="0071284B" w:rsidRDefault="00D07B09" w:rsidP="00EE0A4A">
      <w:pPr>
        <w:ind w:firstLine="708"/>
        <w:jc w:val="both"/>
      </w:pPr>
      <w:r w:rsidRPr="0071284B">
        <w:t>Ekonomi politikası konusunda bazı ilerlemeler kaydedilmiştir. 2012-2014 yıllarını kapsayan Orta Vadeli Program ile mali disiplinin getirilmesi ve cari açığın asgariye indirilmesi amaçlanmaktadır. Türkiye, Ocak 2012’de Katılım Öncesi Ekonomik Programı (KEP) sunmuştur. KEP, büyük ölçüde tutarlı bir orta vadeli makroekonomik ve mali çerçeve sunmaktadır. Diğer taraftan, ödemeler dengesi ve enflasyon senaryolar</w:t>
      </w:r>
      <w:r>
        <w:t>ın</w:t>
      </w:r>
      <w:r w:rsidRPr="0071284B">
        <w:t>da fazla iyimser beklentiler mevcuttur. KEP’in yapısal ve kurumsal reform takvimi, değişik alanlar içermektedir, ancak parçalanmış durumda ve mali senaryolarla bağlantıları yetersizdir. Ekonomi politikası için koordinasyon kapasitesi yeterlidir. Ekonomi politikası konusunda genel hazırlık durumu ileri düzeydedir.</w:t>
      </w:r>
    </w:p>
    <w:p w:rsidR="00D07B09" w:rsidRPr="003B3020" w:rsidRDefault="00D07B09" w:rsidP="00EE0A4A">
      <w:pPr>
        <w:jc w:val="both"/>
        <w:rPr>
          <w:sz w:val="20"/>
          <w:szCs w:val="20"/>
        </w:rPr>
      </w:pPr>
    </w:p>
    <w:p w:rsidR="00D07B09" w:rsidRPr="0071284B" w:rsidRDefault="00D07B09" w:rsidP="00EE0A4A">
      <w:pPr>
        <w:ind w:firstLine="708"/>
        <w:jc w:val="both"/>
        <w:rPr>
          <w:color w:val="FF0000"/>
        </w:rPr>
      </w:pPr>
      <w:r w:rsidRPr="0071284B">
        <w:t>Sonuç olarak; ekonomik ve parasal politika alanında bazı ilerlemeler kaydedilmiştir. Merkez Bankası, mali ve fiyat istikrarını sağlamak amacıyla, çeşitli ekonomik politikalar uygulamaya çalışmıştır. Ekonomik ve parasal politika alanında Türkiye’nin AB müktesebatına uyumu, özellikle Merkez Bankası</w:t>
      </w:r>
      <w:r>
        <w:t>’</w:t>
      </w:r>
      <w:r w:rsidRPr="0071284B">
        <w:t>nın tam bağımsızlığı ve kamu sektörünün finansal kuruluşlara imtiyazlı erişim yasağı açısından tam değildir. Ekonomi politikası için koordinasyon kapasitesi yeterlidir. Genel hazırlık durumu ileri düzeydedir.</w:t>
      </w:r>
    </w:p>
    <w:p w:rsidR="00D07B09" w:rsidRPr="0071284B" w:rsidRDefault="00D07B09" w:rsidP="00EE0A4A"/>
    <w:p w:rsidR="00D07B09" w:rsidRPr="0071284B" w:rsidRDefault="00D07B09" w:rsidP="00EE0A4A">
      <w:pPr>
        <w:rPr>
          <w:b/>
          <w:bCs/>
        </w:rPr>
      </w:pPr>
      <w:r w:rsidRPr="0071284B">
        <w:rPr>
          <w:b/>
          <w:bCs/>
        </w:rPr>
        <w:t xml:space="preserve">Fasıl 18: </w:t>
      </w:r>
      <w:hyperlink r:id="rId24" w:history="1">
        <w:r w:rsidRPr="0071284B">
          <w:rPr>
            <w:b/>
            <w:bCs/>
          </w:rPr>
          <w:t>İstatistik</w:t>
        </w:r>
      </w:hyperlink>
      <w:r w:rsidRPr="0071284B">
        <w:rPr>
          <w:b/>
          <w:bCs/>
        </w:rPr>
        <w:t xml:space="preserve"> </w:t>
      </w:r>
      <w:r w:rsidRPr="0071284B">
        <w:rPr>
          <w:b/>
          <w:bCs/>
        </w:rPr>
        <w:br/>
      </w:r>
    </w:p>
    <w:p w:rsidR="00D07B09" w:rsidRPr="0071284B" w:rsidRDefault="00D07B09" w:rsidP="00EE0A4A">
      <w:pPr>
        <w:ind w:firstLine="708"/>
        <w:jc w:val="both"/>
      </w:pPr>
      <w:r w:rsidRPr="0071284B">
        <w:t>İstatistiki altyapı ve sektör istatistikleri konularında önemli ilerlemeler kaydedilmiştir. Türkiye İstatistik Kurumu (TÜİK), 2012-2016 dönemi için Resmi İstatistik Programı</w:t>
      </w:r>
      <w:r>
        <w:t>’</w:t>
      </w:r>
      <w:r w:rsidRPr="0071284B">
        <w:t>nı yayımlamıştır. Ayrıca, sınıflandırmalar ve kayıtlar alanında da ilerle</w:t>
      </w:r>
      <w:r>
        <w:t>me</w:t>
      </w:r>
      <w:r w:rsidRPr="0071284B">
        <w:t xml:space="preserve"> sağlanmıştır. </w:t>
      </w:r>
    </w:p>
    <w:p w:rsidR="00D07B09" w:rsidRPr="0071284B" w:rsidRDefault="00D07B09" w:rsidP="00EE0A4A">
      <w:pPr>
        <w:autoSpaceDE w:val="0"/>
        <w:autoSpaceDN w:val="0"/>
        <w:adjustRightInd w:val="0"/>
        <w:ind w:firstLine="708"/>
        <w:jc w:val="both"/>
        <w:rPr>
          <w:b/>
          <w:bCs/>
        </w:rPr>
      </w:pPr>
    </w:p>
    <w:p w:rsidR="00D07B09" w:rsidRPr="0071284B" w:rsidRDefault="00D07B09" w:rsidP="00EE0A4A">
      <w:pPr>
        <w:autoSpaceDE w:val="0"/>
        <w:autoSpaceDN w:val="0"/>
        <w:adjustRightInd w:val="0"/>
        <w:ind w:firstLine="708"/>
        <w:jc w:val="both"/>
        <w:rPr>
          <w:color w:val="FF0000"/>
        </w:rPr>
      </w:pPr>
      <w:r w:rsidRPr="0071284B">
        <w:t>Diğer taraftan, özellikle, ulusal hesaplar, işletme istatistiği ve tarım istatistikleri konularında daha fazla ilerleme sağlanması gerekmektedir. İstatistik alanında AB müktesebatına genel uyum ileri düzeydedir.</w:t>
      </w:r>
    </w:p>
    <w:p w:rsidR="00D07B09" w:rsidRPr="0071284B" w:rsidRDefault="00D07B09" w:rsidP="00EE0A4A">
      <w:pPr>
        <w:rPr>
          <w:b/>
          <w:bCs/>
        </w:rPr>
      </w:pPr>
    </w:p>
    <w:p w:rsidR="00D07B09" w:rsidRPr="0071284B" w:rsidRDefault="00D07B09" w:rsidP="00EE0A4A">
      <w:pPr>
        <w:rPr>
          <w:b/>
          <w:bCs/>
        </w:rPr>
      </w:pPr>
      <w:r w:rsidRPr="0071284B">
        <w:rPr>
          <w:b/>
          <w:bCs/>
        </w:rPr>
        <w:t xml:space="preserve">Fasıl 19: </w:t>
      </w:r>
      <w:hyperlink r:id="rId25" w:history="1">
        <w:r w:rsidRPr="0071284B">
          <w:rPr>
            <w:b/>
            <w:bCs/>
          </w:rPr>
          <w:t>Sosyal Politika ve İstihdam</w:t>
        </w:r>
      </w:hyperlink>
      <w:r w:rsidRPr="0071284B">
        <w:rPr>
          <w:b/>
          <w:bCs/>
        </w:rPr>
        <w:t xml:space="preserve"> </w:t>
      </w:r>
      <w:r w:rsidRPr="0071284B">
        <w:rPr>
          <w:b/>
          <w:bCs/>
        </w:rPr>
        <w:br/>
      </w:r>
    </w:p>
    <w:p w:rsidR="00D07B09" w:rsidRPr="0071284B" w:rsidRDefault="00D07B09" w:rsidP="00EE0A4A">
      <w:pPr>
        <w:autoSpaceDE w:val="0"/>
        <w:autoSpaceDN w:val="0"/>
        <w:adjustRightInd w:val="0"/>
        <w:jc w:val="both"/>
      </w:pPr>
      <w:r w:rsidRPr="0071284B">
        <w:tab/>
        <w:t>İş hukuku konusunda, AB müktesebatının iç hukuka aktarılmasına ilişkin ilerleme kaydedilmemiştir.  Özellikle küçük işletmelerde ve tarım sektöründe kayıt dışı istihdamın yaygın</w:t>
      </w:r>
    </w:p>
    <w:p w:rsidR="00D07B09" w:rsidRPr="0071284B" w:rsidRDefault="00D07B09" w:rsidP="00EE0A4A">
      <w:pPr>
        <w:autoSpaceDE w:val="0"/>
        <w:autoSpaceDN w:val="0"/>
        <w:adjustRightInd w:val="0"/>
        <w:jc w:val="both"/>
      </w:pPr>
      <w:r w:rsidRPr="0071284B">
        <w:t xml:space="preserve">olması, İş Kanunu’nun etkili biçimde uygulanmasını engellemektedir. </w:t>
      </w:r>
    </w:p>
    <w:p w:rsidR="00D07B09" w:rsidRPr="003B3020" w:rsidRDefault="00D07B09" w:rsidP="00EE0A4A">
      <w:pPr>
        <w:autoSpaceDE w:val="0"/>
        <w:autoSpaceDN w:val="0"/>
        <w:adjustRightInd w:val="0"/>
        <w:jc w:val="both"/>
        <w:rPr>
          <w:sz w:val="20"/>
          <w:szCs w:val="20"/>
        </w:rPr>
      </w:pPr>
    </w:p>
    <w:p w:rsidR="00D07B09" w:rsidRPr="0071284B" w:rsidRDefault="00D07B09" w:rsidP="00EE0A4A">
      <w:pPr>
        <w:autoSpaceDE w:val="0"/>
        <w:autoSpaceDN w:val="0"/>
        <w:adjustRightInd w:val="0"/>
        <w:ind w:firstLine="708"/>
        <w:jc w:val="both"/>
      </w:pPr>
      <w:r w:rsidRPr="0071284B">
        <w:t xml:space="preserve">Müktesebat bağlamında, iş sağlığı ve güvenliği konusunda önemli ilerleme sağlanmıştır. Sosyal diyalog ve sosyal içerme alanlarında ise ilerleme sınırlı kalmıştır. Diğer taraftan, istihdam politikası, sosyal koruma ve fırsat eşitliği konularında bazı ilerlemeler kaydedilmiştir. </w:t>
      </w:r>
    </w:p>
    <w:p w:rsidR="00D07B09" w:rsidRPr="003B3020" w:rsidRDefault="00D07B09" w:rsidP="00EE0A4A">
      <w:pPr>
        <w:autoSpaceDE w:val="0"/>
        <w:autoSpaceDN w:val="0"/>
        <w:adjustRightInd w:val="0"/>
        <w:ind w:firstLine="708"/>
        <w:jc w:val="both"/>
        <w:rPr>
          <w:sz w:val="20"/>
          <w:szCs w:val="20"/>
        </w:rPr>
      </w:pPr>
    </w:p>
    <w:p w:rsidR="00D07B09" w:rsidRDefault="00D07B09" w:rsidP="00EE0A4A">
      <w:pPr>
        <w:autoSpaceDE w:val="0"/>
        <w:autoSpaceDN w:val="0"/>
        <w:adjustRightInd w:val="0"/>
        <w:ind w:firstLine="708"/>
        <w:jc w:val="both"/>
      </w:pPr>
      <w:r w:rsidRPr="0071284B">
        <w:t>Ancak, ayrımcılıkla mücadele konusunda ilerleme sağlanmamıştır. Sendikal haklar alanında, AB ve ILO standartlarına ulaşılamamıştır.</w:t>
      </w:r>
    </w:p>
    <w:p w:rsidR="00D07B09" w:rsidRPr="0071284B" w:rsidRDefault="00D07B09" w:rsidP="00EE0A4A">
      <w:pPr>
        <w:autoSpaceDE w:val="0"/>
        <w:autoSpaceDN w:val="0"/>
        <w:adjustRightInd w:val="0"/>
        <w:ind w:firstLine="708"/>
        <w:jc w:val="both"/>
      </w:pPr>
    </w:p>
    <w:p w:rsidR="00D07B09" w:rsidRPr="0071284B" w:rsidRDefault="00D07B09" w:rsidP="00EE0A4A">
      <w:pPr>
        <w:rPr>
          <w:b/>
          <w:bCs/>
        </w:rPr>
      </w:pPr>
      <w:r w:rsidRPr="0071284B">
        <w:rPr>
          <w:b/>
          <w:bCs/>
        </w:rPr>
        <w:t xml:space="preserve">Fasıl 20: </w:t>
      </w:r>
      <w:hyperlink r:id="rId26" w:history="1">
        <w:r w:rsidRPr="0071284B">
          <w:rPr>
            <w:b/>
            <w:bCs/>
          </w:rPr>
          <w:t>İşletme ve Sanayi Politikası</w:t>
        </w:r>
      </w:hyperlink>
      <w:r w:rsidRPr="0071284B">
        <w:rPr>
          <w:b/>
          <w:bCs/>
        </w:rPr>
        <w:t xml:space="preserve"> </w:t>
      </w:r>
      <w:r w:rsidRPr="0071284B">
        <w:rPr>
          <w:b/>
          <w:bCs/>
        </w:rPr>
        <w:br/>
      </w:r>
    </w:p>
    <w:p w:rsidR="00D07B09" w:rsidRPr="0071284B" w:rsidRDefault="00D07B09" w:rsidP="00EE0A4A">
      <w:pPr>
        <w:autoSpaceDE w:val="0"/>
        <w:autoSpaceDN w:val="0"/>
        <w:adjustRightInd w:val="0"/>
        <w:ind w:firstLine="708"/>
        <w:jc w:val="both"/>
      </w:pPr>
      <w:r w:rsidRPr="0071284B">
        <w:t>Türkiye, işletme ve sanayi politikaları ilkeleri konusunda daha fazla ilerleme kaydetmiştir. Türkiye, bu başlık altındaki müzakereler bakımından önem arz eden 2011-2014 yıllarını kapsayan Sanayi Stratejisi Belgesi ve Eylem Planı</w:t>
      </w:r>
      <w:r>
        <w:t>’</w:t>
      </w:r>
      <w:r w:rsidRPr="0071284B">
        <w:t xml:space="preserve">nı kabul etmiştir. Türkiye, strateji belgesinde yer alan faaliyetlerin %85'ini hayata geçirmiştir. Bu oran tamamlanmış faaliyetlere ilişkin olup, bu faaliyetlere dair şu ana kadar herhangi bir etki analizi yapılmamıştır. Yatırım Ortamını İyileştirme Koordinasyon Kurulu (YOİKK) tarafından, Ağustos 2011 tarihinde 2012-2013 yıllarını kapsayan bir </w:t>
      </w:r>
      <w:r>
        <w:t>E</w:t>
      </w:r>
      <w:r w:rsidRPr="0071284B">
        <w:t>ylem</w:t>
      </w:r>
      <w:r>
        <w:t xml:space="preserve"> P</w:t>
      </w:r>
      <w:r w:rsidRPr="0071284B">
        <w:t>lanı kabul edilmiştir. Diğer taraftan, Türkiye KOBİ'lere yönelik 2012-2013 yı</w:t>
      </w:r>
      <w:r>
        <w:t>llarını kapsayan yeni bir KOBİ S</w:t>
      </w:r>
      <w:r w:rsidRPr="0071284B">
        <w:t>tratejisi ve Eylem Planı</w:t>
      </w:r>
      <w:r>
        <w:t>’</w:t>
      </w:r>
      <w:r w:rsidRPr="0071284B">
        <w:t>nı kabul etmiştir.  Nisan 2012 tarihinde şirket kuruluşlarında bürokrasinin önlenmesine yönelik birçok düzenleme hayata geçirilmiştir. Tapu Kanunu’nda yapılan bir değişiklikle gerçek kişiler bakımından ülkelerarası karşılıklılık prensibinin uygulanması kaldırılmıştır. Bununla birlikte hangi ülke vatandaşlarının ülkemizden gayrimenkul alabileceğine ilişkin hususlar Bakanlar Kurulu’nca belirlenecektir. İş ortamının geliştirilmesine yönelik diğer önemli gelişmeler arasında gerekli gözden geçirmelerden sonra Türk Ticaret Kanunu'nun 1 Temmuz 2012 tarihi itibariyle yürürlüğe girmesi sayılabilir. Türkiye, Batı Balkan ülkeleriyle birlikte “Avrupa İçin Küçük İşletmeler Yasası”nın değerlendirme sürecini tamamlamıştır. Toplumda girişimcilik kültürünün yaygınlaştırılması amacıyla Bakanlıklar ve sivil toplum kuruluşları temsilcilerinden müteşekkil bir Girişimcilik Konseyi tesis edilmiştir.</w:t>
      </w:r>
      <w:r w:rsidRPr="0071284B">
        <w:tab/>
        <w:t xml:space="preserve"> </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jc w:val="both"/>
      </w:pPr>
      <w:r w:rsidRPr="0071284B">
        <w:tab/>
        <w:t xml:space="preserve">İşletme ve sanayi politika araçları konusunda bazı </w:t>
      </w:r>
      <w:r>
        <w:t>ilerlemeler kaydedilmiştir. KOBİ</w:t>
      </w:r>
      <w:r w:rsidRPr="0071284B">
        <w:t>’lerin finansman kaynaklarına erişiminin kolaylaştırılmasına yönelik olarak Kredi Garanti Fonu’nun kaynakları güçlendirilmiş ve şube sayıları artırılmıştır. 32’si halen aktif bulunan Teknoloji Geliştirme Bölgeleri'nin sayısı 2011 yılında 43’e yükselmiştir. Bu bölgeler halen 1730 şirkete ev sahipliği yapmaktadır. Anılan bölgelerde 1000’den fazla ARGE projesi gerçekleştirilmiştir. Ancak bununla birlikte, bu bölgeler kaynaklı yeni patent kaydı başvurusu olmamıştır. TÜBİTAK, Bilim, Sanayi ve Teknoloji Bakanlığı ile ilişkilendirilmiş olup, bu gelişmenin sınaî kalkınma ile bilimsel araştırma arasında köprü tesis etmesi beklenmektedir. Türkiye tarafından 2011 ve 2012 yıllarında işletmelere ARGE ve yenilikçilik alanlarında 153 milyon Avro destek sağlanmıştır. Bilim ve Teknoloji Üst Kurulu tarafından Aralık 2011 tarihinde, Ulusal Yenilikçilik Sistemi'ne, girişimciler için yenilikçilik ve ARGE araçlarının geliştirilmesine, temel eğitimden başlamak üzere girişimcilik eğitiminin eğitim sistemine entegre edilmesine, ARGE yoğun yeni şirket kuruluşlarının desteklenmesine ve ulusal patent başvurularının artırılmasına yönelik sekiz karar kabul edilmiştir.</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jc w:val="both"/>
      </w:pPr>
      <w:r w:rsidRPr="0071284B">
        <w:tab/>
        <w:t>KOSGEB tarafından beş farklı program altında proje bazında KOBİ’lerin desteklenmesi sürdürülmüştür. KOSGEB tarafından faiz sübvansiyon programları dışında KOBİ'lere bu programlar altında 80 milyon Avro tutarında kredi temin edilmiştir. KOSGEB’in bütçesi 2012 yılında daha fazla KOBİ’ye erişim sağlamak bakımından ciddi oranda artırılmıştır. Bu programların dışında, Halk Bankası ve KOSGEB vasıtasıyla, faiz sübvansiyon programları altında KOBİ’lere kredi desteklerine devam edilmiştir. 2011 yılında bu şekilde KOBİ’lere verilen kredilerin toplamı 8.8 milyar Avro’ya erişmiştir. Türkiye AB Girişimcilik ve Yenilikçilik programına katılmaya devam etmekte olup, Avrupa İşletme Ağı’nın da aktif bir üyesi konumundadır.</w:t>
      </w:r>
    </w:p>
    <w:p w:rsidR="00D07B09" w:rsidRPr="003B3020" w:rsidRDefault="00D07B09" w:rsidP="00EE0A4A">
      <w:pPr>
        <w:autoSpaceDE w:val="0"/>
        <w:autoSpaceDN w:val="0"/>
        <w:adjustRightInd w:val="0"/>
        <w:jc w:val="both"/>
        <w:rPr>
          <w:sz w:val="20"/>
          <w:szCs w:val="20"/>
        </w:rPr>
      </w:pPr>
    </w:p>
    <w:p w:rsidR="00D07B09" w:rsidRDefault="00D07B09" w:rsidP="00EE0A4A">
      <w:pPr>
        <w:autoSpaceDE w:val="0"/>
        <w:autoSpaceDN w:val="0"/>
        <w:adjustRightInd w:val="0"/>
        <w:jc w:val="both"/>
      </w:pPr>
      <w:r w:rsidRPr="0071284B">
        <w:tab/>
        <w:t>Sektör politikalarında sınırlı bazı ilerlemeler kaydedilmiştir. Bilim, Sanayi ve Teknoloji Bakanlığı tarafından kimyasallar, seramik ürünler, demir ve çelik ile demir dışı metallere yönelik stratejiler belirlenmiştir. Türkiye tarafından Haziran 2012’de bir ihracat stratejisi ile eylem planı yürürlüğe konulmuştur.</w:t>
      </w:r>
    </w:p>
    <w:p w:rsidR="00D07B09" w:rsidRPr="003B3020" w:rsidRDefault="00D07B09" w:rsidP="00EE0A4A">
      <w:pPr>
        <w:autoSpaceDE w:val="0"/>
        <w:autoSpaceDN w:val="0"/>
        <w:adjustRightInd w:val="0"/>
        <w:jc w:val="both"/>
        <w:rPr>
          <w:sz w:val="20"/>
          <w:szCs w:val="20"/>
        </w:rPr>
      </w:pPr>
    </w:p>
    <w:p w:rsidR="00D07B09" w:rsidRPr="0071284B" w:rsidRDefault="00D07B09" w:rsidP="00EE0A4A">
      <w:pPr>
        <w:autoSpaceDE w:val="0"/>
        <w:autoSpaceDN w:val="0"/>
        <w:adjustRightInd w:val="0"/>
        <w:ind w:firstLine="708"/>
        <w:jc w:val="both"/>
      </w:pPr>
      <w:r w:rsidRPr="0071284B">
        <w:t xml:space="preserve">Özetle, Türkiye, işletme ve sanayi politikası prensipleri ve araçları alanında ve sektörel stratejilerin belirlenmesinde ilerlemeler kaydetmiştir. Türkiye’nin bu alandaki AB mevzuatına uyumu genel olarak yeterli düzeydedir. </w:t>
      </w:r>
    </w:p>
    <w:p w:rsidR="00D07B09" w:rsidRPr="0071284B" w:rsidRDefault="00D07B09" w:rsidP="00EE0A4A">
      <w:pPr>
        <w:jc w:val="both"/>
      </w:pPr>
    </w:p>
    <w:p w:rsidR="00D07B09" w:rsidRPr="0071284B" w:rsidRDefault="00D07B09" w:rsidP="00EE0A4A">
      <w:pPr>
        <w:jc w:val="both"/>
        <w:rPr>
          <w:b/>
          <w:bCs/>
        </w:rPr>
      </w:pPr>
      <w:r w:rsidRPr="0071284B">
        <w:rPr>
          <w:b/>
          <w:bCs/>
        </w:rPr>
        <w:t xml:space="preserve">Fasıl 21: </w:t>
      </w:r>
      <w:hyperlink r:id="rId27" w:history="1">
        <w:r w:rsidRPr="0071284B">
          <w:rPr>
            <w:b/>
            <w:bCs/>
          </w:rPr>
          <w:t>Trans-Avrupa Şebekeleri</w:t>
        </w:r>
      </w:hyperlink>
      <w:r w:rsidRPr="0071284B">
        <w:rPr>
          <w:b/>
          <w:bCs/>
        </w:rPr>
        <w:t xml:space="preserve"> </w:t>
      </w:r>
    </w:p>
    <w:p w:rsidR="00D07B09" w:rsidRPr="0071284B" w:rsidRDefault="00D07B09" w:rsidP="00EE0A4A">
      <w:pPr>
        <w:autoSpaceDE w:val="0"/>
        <w:autoSpaceDN w:val="0"/>
        <w:adjustRightInd w:val="0"/>
        <w:ind w:firstLine="708"/>
        <w:jc w:val="both"/>
      </w:pPr>
      <w:r w:rsidRPr="0071284B">
        <w:rPr>
          <w:b/>
          <w:bCs/>
        </w:rPr>
        <w:br/>
      </w:r>
      <w:r w:rsidRPr="0071284B">
        <w:rPr>
          <w:b/>
          <w:bCs/>
        </w:rPr>
        <w:tab/>
      </w:r>
      <w:r w:rsidRPr="0071284B">
        <w:t>Taşımacılık ağları konusunda bazı ilerlemeler kaydedilmiş olup,  enerji ağları konusunda da ilerleme sağlanmıştır. Bununla birlikte, gaz enterkoneksiyonu ve Güney Gaz Koridoru</w:t>
      </w:r>
      <w:r>
        <w:t>’</w:t>
      </w:r>
      <w:r w:rsidRPr="0071284B">
        <w:t>nun  uygulamaya geçirilmesi alanlarında daha fazla çaba gösterilmelidir. Bu alanda uyum durumu hâlihazırda ileri düzeydedir</w:t>
      </w:r>
      <w:r>
        <w:t>.</w:t>
      </w:r>
    </w:p>
    <w:p w:rsidR="00D07B09" w:rsidRPr="0071284B" w:rsidRDefault="00D07B09" w:rsidP="00EE0A4A">
      <w:pPr>
        <w:autoSpaceDE w:val="0"/>
        <w:autoSpaceDN w:val="0"/>
        <w:adjustRightInd w:val="0"/>
        <w:jc w:val="both"/>
      </w:pPr>
    </w:p>
    <w:p w:rsidR="00D07B09" w:rsidRPr="0071284B" w:rsidRDefault="00D07B09" w:rsidP="00EE0A4A">
      <w:pPr>
        <w:jc w:val="both"/>
        <w:rPr>
          <w:b/>
          <w:bCs/>
        </w:rPr>
      </w:pPr>
      <w:r w:rsidRPr="0071284B">
        <w:rPr>
          <w:b/>
          <w:bCs/>
        </w:rPr>
        <w:t xml:space="preserve">Fasıl 22: </w:t>
      </w:r>
      <w:hyperlink r:id="rId28" w:history="1">
        <w:r w:rsidRPr="0071284B">
          <w:rPr>
            <w:b/>
            <w:bCs/>
          </w:rPr>
          <w:t>Bölgesel Politika ve Yapısal Araçların Koordinasyonu</w:t>
        </w:r>
      </w:hyperlink>
      <w:r w:rsidRPr="0071284B">
        <w:rPr>
          <w:b/>
          <w:bCs/>
        </w:rPr>
        <w:t xml:space="preserve"> </w:t>
      </w:r>
    </w:p>
    <w:p w:rsidR="00D07B09" w:rsidRPr="0071284B" w:rsidRDefault="00D07B09" w:rsidP="00EE0A4A">
      <w:pPr>
        <w:autoSpaceDE w:val="0"/>
        <w:autoSpaceDN w:val="0"/>
        <w:adjustRightInd w:val="0"/>
        <w:jc w:val="both"/>
      </w:pPr>
      <w:r w:rsidRPr="0071284B">
        <w:rPr>
          <w:b/>
          <w:bCs/>
        </w:rPr>
        <w:br/>
      </w:r>
      <w:r w:rsidRPr="0071284B">
        <w:tab/>
        <w:t>Hukuki çerçeve konusunda bazı ilerlemeler sağlanmıştır. Kamu idaresinin genel reorganizasyonun bir parçası olarak; Ulaştırma, Çevre ve Ormancılık, Sanayi ve Ticaret ile Çalışma ve Sosyal Güvenlik Bakanlıkları</w:t>
      </w:r>
      <w:r>
        <w:t>’</w:t>
      </w:r>
      <w:r w:rsidRPr="0071284B">
        <w:t>nın yeniden yapılandırılması bağlamında çok sayıda yönetmelik benimsenmiştir.</w:t>
      </w:r>
    </w:p>
    <w:p w:rsidR="00D07B09" w:rsidRPr="0071284B" w:rsidRDefault="00D07B09" w:rsidP="00EE0A4A">
      <w:pPr>
        <w:autoSpaceDE w:val="0"/>
        <w:autoSpaceDN w:val="0"/>
        <w:adjustRightInd w:val="0"/>
        <w:jc w:val="both"/>
      </w:pPr>
    </w:p>
    <w:p w:rsidR="00D07B09" w:rsidRPr="0071284B" w:rsidRDefault="00D07B09" w:rsidP="00EE0A4A">
      <w:pPr>
        <w:autoSpaceDE w:val="0"/>
        <w:autoSpaceDN w:val="0"/>
        <w:adjustRightInd w:val="0"/>
        <w:ind w:firstLine="708"/>
        <w:jc w:val="both"/>
      </w:pPr>
      <w:r w:rsidRPr="0071284B">
        <w:t>Kurumsal çerçevenin güçlendirilmesi ve idari kapasite alanlarında, ayrıca,  programlama ve program uy</w:t>
      </w:r>
      <w:r>
        <w:t>gulama konusunda, IPA’nın III. v</w:t>
      </w:r>
      <w:r w:rsidRPr="0071284B">
        <w:t xml:space="preserve">e IV. bileşenleri altında yer alan projelerin tanımlama, hazırlık ve onay aşamalarında,  izleme ve değerlendirme ile mali yönetim ve kontrol konularında bazı ilerlemeler kaydedilmiştir. </w:t>
      </w:r>
    </w:p>
    <w:p w:rsidR="00D07B09" w:rsidRPr="0071284B" w:rsidRDefault="00D07B09" w:rsidP="00EE0A4A">
      <w:pPr>
        <w:autoSpaceDE w:val="0"/>
        <w:autoSpaceDN w:val="0"/>
        <w:adjustRightInd w:val="0"/>
        <w:ind w:firstLine="708"/>
        <w:jc w:val="both"/>
      </w:pPr>
    </w:p>
    <w:p w:rsidR="00D07B09" w:rsidRPr="0071284B" w:rsidRDefault="00D07B09" w:rsidP="00EE0A4A">
      <w:pPr>
        <w:autoSpaceDE w:val="0"/>
        <w:autoSpaceDN w:val="0"/>
        <w:adjustRightInd w:val="0"/>
        <w:ind w:firstLine="708"/>
        <w:jc w:val="both"/>
        <w:rPr>
          <w:b/>
          <w:bCs/>
        </w:rPr>
      </w:pPr>
      <w:r w:rsidRPr="0071284B">
        <w:t>Bununla birlikte, uygulamanın hızlandırılması amacıyla, IPA kurumlarının idari kapasitelerinin daha fazla güçlendirilmesine ve fon kaybının önlenmesine ihtiyaç bulunmaktadır. Bu alandaki hazırlık çok ileri düzeyde değildir.</w:t>
      </w:r>
    </w:p>
    <w:p w:rsidR="00D07B09" w:rsidRPr="0071284B" w:rsidRDefault="00D07B09" w:rsidP="00EE0A4A">
      <w:pPr>
        <w:jc w:val="both"/>
        <w:rPr>
          <w:b/>
          <w:bCs/>
        </w:rPr>
      </w:pPr>
    </w:p>
    <w:p w:rsidR="00D07B09" w:rsidRPr="0071284B" w:rsidRDefault="00D07B09" w:rsidP="00EE0A4A">
      <w:pPr>
        <w:jc w:val="both"/>
        <w:rPr>
          <w:b/>
          <w:bCs/>
        </w:rPr>
      </w:pPr>
      <w:r w:rsidRPr="0071284B">
        <w:rPr>
          <w:b/>
          <w:bCs/>
        </w:rPr>
        <w:t xml:space="preserve">Fasıl 23: </w:t>
      </w:r>
      <w:hyperlink r:id="rId29" w:history="1">
        <w:r w:rsidRPr="0071284B">
          <w:rPr>
            <w:b/>
            <w:bCs/>
          </w:rPr>
          <w:t>Yargı ve Temel Haklar</w:t>
        </w:r>
      </w:hyperlink>
      <w:r w:rsidRPr="0071284B">
        <w:rPr>
          <w:b/>
          <w:bCs/>
        </w:rPr>
        <w:t xml:space="preserve"> </w:t>
      </w:r>
    </w:p>
    <w:p w:rsidR="00D07B09" w:rsidRPr="0071284B" w:rsidRDefault="00D07B09" w:rsidP="00EE0A4A">
      <w:pPr>
        <w:ind w:left="708" w:hanging="708"/>
        <w:jc w:val="both"/>
        <w:rPr>
          <w:b/>
          <w:bCs/>
        </w:rPr>
      </w:pPr>
    </w:p>
    <w:p w:rsidR="00D07B09" w:rsidRPr="0071284B" w:rsidRDefault="00D07B09" w:rsidP="00EE0A4A">
      <w:pPr>
        <w:ind w:firstLine="708"/>
        <w:jc w:val="both"/>
      </w:pPr>
      <w:r w:rsidRPr="0071284B">
        <w:t xml:space="preserve">Yargı alanında genel olarak, Türk ceza yargılama sisteminde önemli gelişmeler sağlayan üçüncü yargı reformu paketi ile bazı ilerlemeler kaydedilmiştir. Ancak, reformlar önemli bazı eksikliklerin giderilmesi konusunda yetersiz kalmıştır. Yargının bağımsızlığı, tarafsızlığı ve etkinliği ile ceza yargılama sistemi ve biriken önemli davalar konularında daha fazla çaba gösterilmesi gerekmektedir. </w:t>
      </w:r>
    </w:p>
    <w:p w:rsidR="00D07B09" w:rsidRPr="0071284B" w:rsidRDefault="00D07B09" w:rsidP="00EE0A4A">
      <w:pPr>
        <w:jc w:val="both"/>
      </w:pPr>
    </w:p>
    <w:p w:rsidR="00D07B09" w:rsidRPr="0071284B" w:rsidRDefault="00D07B09" w:rsidP="00EE0A4A">
      <w:pPr>
        <w:ind w:firstLine="708"/>
        <w:jc w:val="both"/>
      </w:pPr>
      <w:r w:rsidRPr="0071284B">
        <w:t xml:space="preserve">Yargı sistemindeki kadın işgücü katılımının arttırılması gerekmektedir. </w:t>
      </w:r>
    </w:p>
    <w:p w:rsidR="00D07B09" w:rsidRPr="0071284B" w:rsidRDefault="00D07B09" w:rsidP="00EE0A4A">
      <w:pPr>
        <w:jc w:val="both"/>
      </w:pPr>
    </w:p>
    <w:p w:rsidR="00D07B09" w:rsidRPr="0071284B" w:rsidRDefault="00D07B09" w:rsidP="00EE0A4A">
      <w:pPr>
        <w:ind w:firstLine="708"/>
        <w:jc w:val="both"/>
      </w:pPr>
      <w:r w:rsidRPr="0071284B">
        <w:t xml:space="preserve">Yolsuzlukla mücadeleye ilişkin olarak, suç isnadı ve siyasi partilerin finansmanının şeffaflığı konularında bazı ilerlemeler kaydedilmiştir. Ulusal Yolsuzlukla Mücadele Stratejisi’nin uygulanabilmesi için daha fazla siyasi irade gerekmektedir. </w:t>
      </w:r>
    </w:p>
    <w:p w:rsidR="00D07B09" w:rsidRPr="0071284B" w:rsidRDefault="00D07B09" w:rsidP="00EE0A4A">
      <w:pPr>
        <w:jc w:val="both"/>
      </w:pPr>
    </w:p>
    <w:p w:rsidR="00D07B09" w:rsidRPr="0071284B" w:rsidRDefault="00D07B09" w:rsidP="00EE0A4A">
      <w:pPr>
        <w:ind w:firstLine="708"/>
        <w:jc w:val="both"/>
      </w:pPr>
      <w:r w:rsidRPr="0071284B">
        <w:t>Temel haklar konusunda, ombudsmanlık kurumu ile ulusal insan hakları kurumunu teşkil eden kanunlar kabul edilmiştir. Ancak, temel haklara saygı konusundaki mevcut durum, adil yargılama hakkı ve ifade, toplanma ve dernekleşme özgürlüğü alanlarındaki endişelerin kaynağı olmaya devam etmektedir.</w:t>
      </w:r>
    </w:p>
    <w:p w:rsidR="00D07B09" w:rsidRPr="0071284B" w:rsidRDefault="00D07B09" w:rsidP="00EE0A4A">
      <w:pPr>
        <w:jc w:val="both"/>
      </w:pPr>
    </w:p>
    <w:p w:rsidR="00D07B09" w:rsidRPr="0071284B" w:rsidRDefault="00D07B09" w:rsidP="00EE0A4A">
      <w:pPr>
        <w:jc w:val="both"/>
        <w:rPr>
          <w:b/>
          <w:bCs/>
        </w:rPr>
      </w:pPr>
      <w:r w:rsidRPr="0071284B">
        <w:rPr>
          <w:b/>
          <w:bCs/>
        </w:rPr>
        <w:t xml:space="preserve">Fasıl 24: </w:t>
      </w:r>
      <w:hyperlink r:id="rId30" w:history="1">
        <w:r w:rsidRPr="0071284B">
          <w:rPr>
            <w:b/>
            <w:bCs/>
          </w:rPr>
          <w:t>Adalet, Özgürlük ve Güvenlik</w:t>
        </w:r>
      </w:hyperlink>
      <w:r w:rsidRPr="0071284B">
        <w:rPr>
          <w:b/>
          <w:bCs/>
        </w:rPr>
        <w:t xml:space="preserve"> </w:t>
      </w:r>
    </w:p>
    <w:p w:rsidR="00D07B09" w:rsidRPr="0071284B" w:rsidRDefault="00D07B09" w:rsidP="00EE0A4A">
      <w:pPr>
        <w:jc w:val="both"/>
        <w:rPr>
          <w:b/>
          <w:bCs/>
        </w:rPr>
      </w:pPr>
      <w:r w:rsidRPr="0071284B">
        <w:rPr>
          <w:b/>
          <w:bCs/>
        </w:rPr>
        <w:tab/>
      </w:r>
    </w:p>
    <w:p w:rsidR="00D07B09" w:rsidRPr="0071284B" w:rsidRDefault="00D07B09" w:rsidP="00EE0A4A">
      <w:pPr>
        <w:autoSpaceDE w:val="0"/>
        <w:autoSpaceDN w:val="0"/>
        <w:adjustRightInd w:val="0"/>
        <w:ind w:firstLine="708"/>
        <w:jc w:val="both"/>
        <w:rPr>
          <w:color w:val="000000"/>
        </w:rPr>
      </w:pPr>
      <w:r w:rsidRPr="0071284B">
        <w:rPr>
          <w:color w:val="000000"/>
        </w:rPr>
        <w:t xml:space="preserve">Göç, iltica, dış sınırlar ve Schengen ile cezai ve hukuki konularda adli işbirliği ve gümrük işbirliği alanlarında sınırlı ilerleme kaydedilmiştir. Terörle mücadele konusunda ilerleme sağlanmıştır. Uyuşturucu alanında işbirliği bağlamında da bazı ilerlemeler kaydedilmiştir. </w:t>
      </w:r>
    </w:p>
    <w:p w:rsidR="00D07B09" w:rsidRPr="0071284B" w:rsidRDefault="00D07B09" w:rsidP="00EE0A4A">
      <w:pPr>
        <w:tabs>
          <w:tab w:val="num" w:pos="360"/>
        </w:tabs>
        <w:ind w:firstLine="708"/>
        <w:jc w:val="both"/>
        <w:rPr>
          <w:rStyle w:val="ft"/>
          <w:color w:val="222222"/>
        </w:rPr>
      </w:pPr>
    </w:p>
    <w:p w:rsidR="00D07B09" w:rsidRPr="0071284B" w:rsidRDefault="00D07B09" w:rsidP="00EE0A4A">
      <w:pPr>
        <w:tabs>
          <w:tab w:val="num" w:pos="360"/>
        </w:tabs>
        <w:ind w:firstLine="708"/>
        <w:jc w:val="both"/>
        <w:rPr>
          <w:rStyle w:val="ft"/>
          <w:color w:val="222222"/>
        </w:rPr>
      </w:pPr>
      <w:r w:rsidRPr="0071284B">
        <w:rPr>
          <w:rStyle w:val="ft"/>
          <w:color w:val="222222"/>
        </w:rPr>
        <w:t>Geri Kabul Anlaşması</w:t>
      </w:r>
      <w:r>
        <w:rPr>
          <w:rStyle w:val="ft"/>
          <w:color w:val="222222"/>
        </w:rPr>
        <w:t xml:space="preserve"> </w:t>
      </w:r>
      <w:r w:rsidRPr="0071284B">
        <w:rPr>
          <w:rStyle w:val="ft"/>
          <w:color w:val="222222"/>
        </w:rPr>
        <w:t xml:space="preserve">(GKA) 21 Haziran itibariyle parafe edilmiş olup, imzalanması beklenmektedir. </w:t>
      </w:r>
      <w:r>
        <w:rPr>
          <w:lang w:eastAsia="en-GB"/>
        </w:rPr>
        <w:t>Anlaşmanın hızlı bir şekilde sonuçlandırılarak etkin uygulamaya geçirilmesi büyük önem arz etmektedir.</w:t>
      </w:r>
      <w:r w:rsidRPr="00DA4C72">
        <w:rPr>
          <w:lang w:eastAsia="en-GB"/>
        </w:rPr>
        <w:t xml:space="preserve"> </w:t>
      </w:r>
      <w:r>
        <w:rPr>
          <w:lang w:eastAsia="en-GB"/>
        </w:rPr>
        <w:t>ss</w:t>
      </w:r>
      <w:r w:rsidRPr="0071284B">
        <w:rPr>
          <w:rStyle w:val="ft"/>
          <w:color w:val="222222"/>
        </w:rPr>
        <w:t>Aynı zamanda, mevcut iki taraflı geri kabul anlaşmalarının yeterince uygulanması hususu önceliğini korumaktadır. Türkiye ve Yunanistan arasında mevcut geri kabul protokolünün uygulanması çok sınırlı kalmıştır. Türkiye 3. ülkelerle yeni geri kabul anlaşması akdetmemiştir.</w:t>
      </w:r>
    </w:p>
    <w:p w:rsidR="00D07B09" w:rsidRPr="0071284B" w:rsidRDefault="00D07B09" w:rsidP="00EE0A4A">
      <w:pPr>
        <w:tabs>
          <w:tab w:val="num" w:pos="360"/>
        </w:tabs>
        <w:ind w:firstLine="708"/>
        <w:jc w:val="both"/>
        <w:rPr>
          <w:rStyle w:val="ft"/>
          <w:color w:val="222222"/>
        </w:rPr>
      </w:pPr>
    </w:p>
    <w:p w:rsidR="00D07B09" w:rsidRPr="0071284B" w:rsidRDefault="00D07B09" w:rsidP="00EE0A4A">
      <w:pPr>
        <w:tabs>
          <w:tab w:val="num" w:pos="360"/>
        </w:tabs>
        <w:ind w:firstLine="708"/>
        <w:jc w:val="both"/>
        <w:rPr>
          <w:rStyle w:val="ft"/>
          <w:color w:val="222222"/>
        </w:rPr>
      </w:pPr>
      <w:r w:rsidRPr="0071284B">
        <w:rPr>
          <w:rStyle w:val="ft"/>
          <w:color w:val="222222"/>
        </w:rPr>
        <w:t xml:space="preserve">Vize politikası alanında sınırlı ilerleme kaydedilmiştir. İçişleri Bakanlığı, Türkiye’de kısa süreli kalışlara dair yeni düzenlemeler getirmiştir. Bununla birlikte, Türkiye, dış sınırlardan geçişte vizesi olması gereken ve vatandaşları vizeden muaf tutulan ülkelere ilişkin AB listelerine uyum konusunda ilerleme kaydetmemiştir. Türkiye, vize yükümlülüğüne ilişkin olarak tüm AB vatandaşlarına yeknesak bir politika uygulamamaktadır. Halihazırda, 11 AB üyesi ülkenin vatandaşlarının, Türkiye’ye girmek için sınırdan alınabilen vizeye sahip olmaları gerekmektedir. Diğer 16 üye ülkenin vatandaşları ise vize yükümlülüğünden muaftır. </w:t>
      </w:r>
    </w:p>
    <w:p w:rsidR="00D07B09" w:rsidRPr="0071284B" w:rsidRDefault="00D07B09" w:rsidP="00EE0A4A">
      <w:pPr>
        <w:autoSpaceDE w:val="0"/>
        <w:autoSpaceDN w:val="0"/>
        <w:adjustRightInd w:val="0"/>
        <w:ind w:firstLine="708"/>
        <w:jc w:val="both"/>
        <w:rPr>
          <w:color w:val="000000"/>
        </w:rPr>
      </w:pPr>
    </w:p>
    <w:p w:rsidR="00D07B09" w:rsidRDefault="00D07B09" w:rsidP="006979DE">
      <w:pPr>
        <w:autoSpaceDE w:val="0"/>
        <w:autoSpaceDN w:val="0"/>
        <w:adjustRightInd w:val="0"/>
        <w:ind w:firstLine="708"/>
        <w:jc w:val="both"/>
        <w:rPr>
          <w:color w:val="000000"/>
        </w:rPr>
      </w:pPr>
      <w:r w:rsidRPr="0071284B">
        <w:rPr>
          <w:color w:val="000000"/>
        </w:rPr>
        <w:t>Özetle bu başlık altındaki ilerleme sınırlıdır.</w:t>
      </w:r>
    </w:p>
    <w:p w:rsidR="00D07B09" w:rsidRPr="0071284B" w:rsidRDefault="00D07B09" w:rsidP="00EE0A4A">
      <w:pPr>
        <w:autoSpaceDE w:val="0"/>
        <w:autoSpaceDN w:val="0"/>
        <w:adjustRightInd w:val="0"/>
        <w:ind w:firstLine="708"/>
        <w:jc w:val="both"/>
        <w:rPr>
          <w:color w:val="000000"/>
        </w:rPr>
      </w:pPr>
    </w:p>
    <w:p w:rsidR="00D07B09" w:rsidRPr="0071284B" w:rsidRDefault="00D07B09" w:rsidP="00EE0A4A">
      <w:pPr>
        <w:rPr>
          <w:b/>
          <w:bCs/>
        </w:rPr>
      </w:pPr>
      <w:r w:rsidRPr="0071284B">
        <w:rPr>
          <w:b/>
          <w:bCs/>
        </w:rPr>
        <w:t xml:space="preserve">Fasıl 25: </w:t>
      </w:r>
      <w:hyperlink r:id="rId31" w:history="1">
        <w:r w:rsidRPr="0071284B">
          <w:rPr>
            <w:b/>
            <w:bCs/>
          </w:rPr>
          <w:t>Bilim ve Araştırma</w:t>
        </w:r>
      </w:hyperlink>
      <w:r w:rsidRPr="0071284B">
        <w:rPr>
          <w:b/>
          <w:bCs/>
        </w:rPr>
        <w:t xml:space="preserve"> </w:t>
      </w:r>
      <w:r w:rsidRPr="0071284B">
        <w:rPr>
          <w:b/>
          <w:bCs/>
        </w:rPr>
        <w:br/>
      </w:r>
    </w:p>
    <w:p w:rsidR="00D07B09" w:rsidRPr="0071284B" w:rsidRDefault="00D07B09" w:rsidP="00EE0A4A">
      <w:pPr>
        <w:ind w:firstLine="708"/>
        <w:jc w:val="both"/>
      </w:pPr>
      <w:r w:rsidRPr="0071284B">
        <w:t xml:space="preserve">Bilim ve araştırma alanında iyi bir ilerleme sağlanmıştır. Türkiye’nin kapasitesinin daha da güçlendirilmesi için önemli adımlar atılmış olup, gelecekte Avrupa Araştırma Alanı’na entegrasyonu konusunda gelişme kaydedilmiştir. </w:t>
      </w:r>
    </w:p>
    <w:p w:rsidR="00D07B09" w:rsidRPr="0071284B" w:rsidRDefault="00D07B09" w:rsidP="00EE0A4A">
      <w:pPr>
        <w:jc w:val="both"/>
      </w:pPr>
    </w:p>
    <w:p w:rsidR="00D07B09" w:rsidRPr="0071284B" w:rsidRDefault="00D07B09" w:rsidP="00EE0A4A">
      <w:pPr>
        <w:ind w:firstLine="708"/>
        <w:jc w:val="both"/>
      </w:pPr>
      <w:r w:rsidRPr="0071284B">
        <w:t>2011 yılında oluşturulan yeni idari yapı çerçevesinde, Bilim, Sanayi ve Teknoloji Bakanlığı kurulmuş, Türkiye Bilimsel ve Teknolojik Araştırma Kurumu (TÜBİTAK) ile Türkiye Bilimler Akademisi’nin (TUBA) yapısındaki idari değişiklikler yürürlüğe girmiştir.</w:t>
      </w:r>
    </w:p>
    <w:p w:rsidR="00D07B09" w:rsidRPr="0071284B" w:rsidRDefault="00D07B09" w:rsidP="00EE0A4A">
      <w:pPr>
        <w:jc w:val="both"/>
      </w:pPr>
    </w:p>
    <w:p w:rsidR="00D07B09" w:rsidRPr="0071284B" w:rsidRDefault="00D07B09" w:rsidP="00EE0A4A">
      <w:pPr>
        <w:ind w:firstLine="708"/>
        <w:jc w:val="both"/>
      </w:pPr>
      <w:r w:rsidRPr="0071284B">
        <w:t>AB Araştırma Çerçeve Programı’nda (FP7) Türkiye’nin katılım ve başarı oranı yükselmiştir. Türkiye özellikle gıda, tarım ve biyoteknoloji gibi alanlarda başarılı durumdadır. Ayrıca, FP7 ve Marie Curie Araştırma Programları</w:t>
      </w:r>
      <w:r>
        <w:t>’</w:t>
      </w:r>
      <w:r w:rsidRPr="0071284B">
        <w:t xml:space="preserve">nda yer alan KOBİ’lerin sayısı oldukça yüksek durumdadır. Ancak, getirilen önerilerin ve araştırmacıların kalitesinin arttırılması için daha fazla çaba gösterilmelidir.  </w:t>
      </w:r>
    </w:p>
    <w:p w:rsidR="00D07B09" w:rsidRPr="0071284B" w:rsidRDefault="00D07B09" w:rsidP="00EE0A4A">
      <w:pPr>
        <w:jc w:val="both"/>
      </w:pPr>
    </w:p>
    <w:p w:rsidR="00D07B09" w:rsidRPr="0071284B" w:rsidRDefault="00D07B09" w:rsidP="00EE0A4A">
      <w:pPr>
        <w:ind w:firstLine="708"/>
        <w:jc w:val="both"/>
      </w:pPr>
      <w:r w:rsidRPr="0071284B">
        <w:t xml:space="preserve">İl düzeyinde bilim, teknoloji ve yenilikçilik kapasitesinin arttırılmasını teminen TÜBİTAK tarafından başlatılan il yenilik platformları destek programı kapsamında Elazığ, Aydın, Diyarbakır, Hatay ve Siirt’in aralarında bulunduğu 5 adet il seçilmiştir. </w:t>
      </w:r>
    </w:p>
    <w:p w:rsidR="00D07B09" w:rsidRPr="0071284B" w:rsidRDefault="00D07B09" w:rsidP="00EE0A4A">
      <w:pPr>
        <w:jc w:val="both"/>
      </w:pPr>
    </w:p>
    <w:p w:rsidR="00D07B09" w:rsidRPr="0071284B" w:rsidRDefault="00D07B09" w:rsidP="00EE0A4A">
      <w:pPr>
        <w:ind w:firstLine="708"/>
        <w:jc w:val="both"/>
      </w:pPr>
      <w:r w:rsidRPr="0071284B">
        <w:t xml:space="preserve">TÜBİTAK tarafından ayrıca, özel sektörden gelen araştırma, teknolojik kalkınma ve yenilikçilik projeleri ile teknolojik girişimciliğin finansmanının sağlanmasını da içeren yeni destek programları başlatılmıştır. Aynı zamanda FP7 kapsamında da kısmen desteklenen bir başka program ile tüm dünyadaki deneyimli araştırmacıların dolaşımının kolaylaştırılarak arttırılması hedeflenmektedir. </w:t>
      </w:r>
    </w:p>
    <w:p w:rsidR="00D07B09" w:rsidRPr="0071284B" w:rsidRDefault="00D07B09" w:rsidP="00EE0A4A">
      <w:pPr>
        <w:jc w:val="both"/>
      </w:pPr>
    </w:p>
    <w:p w:rsidR="00D07B09" w:rsidRPr="0071284B" w:rsidRDefault="00D07B09" w:rsidP="00EE0A4A">
      <w:pPr>
        <w:ind w:firstLine="708"/>
        <w:jc w:val="both"/>
      </w:pPr>
      <w:r w:rsidRPr="0071284B">
        <w:t xml:space="preserve">Bilim, Sanayi ve Teknoloji Bakanlığı tarafından 2016 yılından önce 16 büyük ilde, 2023 yılından önce de tüm 81 ilde bilim merkezleri kurulacağı açıklanmış olup, bu doğrultuda Türkiye’nin ilk bilim merkezinin 2013 yılında Konya’da açılması planlanmaktadır. </w:t>
      </w:r>
    </w:p>
    <w:p w:rsidR="00D07B09" w:rsidRPr="0071284B" w:rsidRDefault="00D07B09" w:rsidP="00EE0A4A"/>
    <w:p w:rsidR="00D07B09" w:rsidRPr="0071284B" w:rsidRDefault="00D07B09" w:rsidP="00EE0A4A">
      <w:pPr>
        <w:rPr>
          <w:b/>
          <w:bCs/>
        </w:rPr>
      </w:pPr>
      <w:r w:rsidRPr="0071284B">
        <w:rPr>
          <w:b/>
          <w:bCs/>
        </w:rPr>
        <w:t xml:space="preserve">Fasıl 26: </w:t>
      </w:r>
      <w:hyperlink r:id="rId32" w:history="1">
        <w:r w:rsidRPr="0071284B">
          <w:rPr>
            <w:b/>
            <w:bCs/>
          </w:rPr>
          <w:t>Eğitim ve Kültür</w:t>
        </w:r>
      </w:hyperlink>
      <w:r w:rsidRPr="0071284B">
        <w:rPr>
          <w:b/>
          <w:bCs/>
        </w:rPr>
        <w:t xml:space="preserve"> </w:t>
      </w:r>
      <w:r w:rsidRPr="0071284B">
        <w:rPr>
          <w:b/>
          <w:bCs/>
        </w:rPr>
        <w:br/>
      </w:r>
    </w:p>
    <w:p w:rsidR="00D07B09" w:rsidRPr="0071284B" w:rsidRDefault="00D07B09" w:rsidP="00EE0A4A">
      <w:pPr>
        <w:ind w:firstLine="708"/>
        <w:jc w:val="both"/>
      </w:pPr>
      <w:r w:rsidRPr="0071284B">
        <w:t xml:space="preserve">Eğitim ve kültür alanında bir miktar ilerleme sağlanmıştır. Hayat Boyu Öğrenme ve Gençlik Programları’na yönelik kamu ilgisi yoğunlaşarak artmıştır. </w:t>
      </w:r>
    </w:p>
    <w:p w:rsidR="00D07B09" w:rsidRPr="0071284B" w:rsidRDefault="00D07B09" w:rsidP="00EE0A4A">
      <w:pPr>
        <w:jc w:val="both"/>
      </w:pPr>
    </w:p>
    <w:p w:rsidR="00D07B09" w:rsidRPr="0071284B" w:rsidRDefault="00D07B09" w:rsidP="00EE0A4A">
      <w:pPr>
        <w:ind w:firstLine="708"/>
        <w:jc w:val="both"/>
      </w:pPr>
      <w:r w:rsidRPr="0071284B">
        <w:t xml:space="preserve">Türk Eğitim Kanunu’na getirilen bir değişiklikle, zorunlu eğitim süresi 8 yıldan 12 yıla çıkarılmış ve Nisan 2012’de yeni bir eğitim sistemi (4+4+4) benimsenmiştir. </w:t>
      </w:r>
    </w:p>
    <w:p w:rsidR="00D07B09" w:rsidRPr="0071284B" w:rsidRDefault="00D07B09" w:rsidP="00EE0A4A">
      <w:pPr>
        <w:jc w:val="both"/>
      </w:pPr>
    </w:p>
    <w:p w:rsidR="00D07B09" w:rsidRPr="0071284B" w:rsidRDefault="00D07B09" w:rsidP="00EE0A4A">
      <w:pPr>
        <w:ind w:firstLine="708"/>
        <w:jc w:val="both"/>
      </w:pPr>
      <w:r w:rsidRPr="0071284B">
        <w:t>Türkiye Bologna Süreci</w:t>
      </w:r>
      <w:r>
        <w:t>’</w:t>
      </w:r>
      <w:r w:rsidRPr="0071284B">
        <w:t>nde yer alan tavsiyelerin uygulanması bakımından ileri bir düzeydedir. Yüksek öğretim alanında yeni üniversitelerin kurulmasıyla toplam üniversite sayısı 168’e ulaşmıştır. Ancak öğretim personeli ve altyapı bakımından söz konusu üniversiteler arasında ciddi kalite farkları bulunmaktadır.  Mesleki Yeterlilik Kurumu 2011 yılı Kasım ayından itibaren bu alandaki tüm süreçten sorumlu organ konumundadır. Ancak, Avrupa Standartları ve Esasları ile uyumlu bir şekilde bağımsız ve tam işler durumda bir Kalite Güvencesi ve Akreditasyon Kuruluşu’nun oluşturulması gerekmektedir. Üzerinde mutabakat sağlanan yüksek öğretim için kalite güvencesi kuruluşuna yönelik hazırlıklar halen başlatılmamıştır.</w:t>
      </w:r>
    </w:p>
    <w:p w:rsidR="00D07B09" w:rsidRPr="0071284B" w:rsidRDefault="00D07B09" w:rsidP="00EE0A4A">
      <w:pPr>
        <w:jc w:val="both"/>
      </w:pPr>
    </w:p>
    <w:p w:rsidR="00D07B09" w:rsidRPr="0071284B" w:rsidRDefault="00D07B09" w:rsidP="00EE0A4A">
      <w:pPr>
        <w:ind w:firstLine="708"/>
        <w:jc w:val="both"/>
      </w:pPr>
      <w:r w:rsidRPr="0071284B">
        <w:t xml:space="preserve">Kültür alanında çok az bir ilerleme kaydedilmiştir. Türkiye’nin AB’nin Kültür Programına katılımı düşük seviyede kalmaktadır. Türkiye henüz Kültürel İfadelerin Çeşitliliğinin Korunması ve Geliştirilmesine ilişkin UNESCO Sözleşmesi’ni onaylamamıştır.  </w:t>
      </w:r>
    </w:p>
    <w:p w:rsidR="00D07B09" w:rsidRPr="0071284B" w:rsidRDefault="00D07B09" w:rsidP="00EE0A4A">
      <w:pPr>
        <w:jc w:val="both"/>
      </w:pPr>
    </w:p>
    <w:p w:rsidR="00D07B09" w:rsidRPr="0071284B" w:rsidRDefault="00D07B09" w:rsidP="00EE0A4A">
      <w:pPr>
        <w:rPr>
          <w:b/>
          <w:bCs/>
        </w:rPr>
      </w:pPr>
      <w:r w:rsidRPr="0071284B">
        <w:rPr>
          <w:b/>
          <w:bCs/>
        </w:rPr>
        <w:t xml:space="preserve">Fasıl 27: </w:t>
      </w:r>
      <w:hyperlink r:id="rId33" w:history="1">
        <w:r w:rsidRPr="0071284B">
          <w:rPr>
            <w:b/>
            <w:bCs/>
          </w:rPr>
          <w:t>Çevre</w:t>
        </w:r>
      </w:hyperlink>
      <w:r w:rsidRPr="0071284B">
        <w:rPr>
          <w:b/>
          <w:bCs/>
        </w:rPr>
        <w:t xml:space="preserve"> </w:t>
      </w:r>
      <w:r>
        <w:rPr>
          <w:b/>
          <w:bCs/>
        </w:rPr>
        <w:t>ve İklim Değişikliği</w:t>
      </w:r>
      <w:r w:rsidRPr="0071284B">
        <w:rPr>
          <w:b/>
          <w:bCs/>
        </w:rPr>
        <w:br/>
      </w:r>
    </w:p>
    <w:p w:rsidR="00D07B09" w:rsidRPr="0071284B" w:rsidRDefault="00D07B09" w:rsidP="00EE0A4A">
      <w:pPr>
        <w:jc w:val="both"/>
      </w:pPr>
      <w:r w:rsidRPr="0071284B">
        <w:tab/>
      </w:r>
      <w:r>
        <w:t>Y</w:t>
      </w:r>
      <w:r w:rsidRPr="0071284B">
        <w:t>atay mevzuatta ilerleme kaydedilme</w:t>
      </w:r>
      <w:r>
        <w:t>miştir.</w:t>
      </w:r>
      <w:r w:rsidRPr="0071284B">
        <w:t xml:space="preserve"> Bazı mevzuat</w:t>
      </w:r>
      <w:r>
        <w:t>ın</w:t>
      </w:r>
      <w:r w:rsidRPr="0071284B">
        <w:t xml:space="preserve"> (Çevresel Sorumluluk-INSPIRE) uyumlaştırma hazırlıkları devam et</w:t>
      </w:r>
      <w:r>
        <w:t xml:space="preserve">mektedir. </w:t>
      </w:r>
      <w:r w:rsidRPr="0071284B">
        <w:t>Çevre Etki Değerlendirmesi Direktifi çerçevesinde sınır ötesi danışma prosedürleri uyumlaştırılma</w:t>
      </w:r>
      <w:r>
        <w:t>mıştır. İ</w:t>
      </w:r>
      <w:r w:rsidRPr="0071284B">
        <w:t>lgili Üye Ülkelere sınır ötesi işbirliği anlaşma taslağı henüz gönderilme</w:t>
      </w:r>
      <w:r>
        <w:t>miştir. S</w:t>
      </w:r>
      <w:r w:rsidRPr="0071284B">
        <w:t>tratejik çevre değerlendirmelerine ilişkin Direktif uyumlaştırılma</w:t>
      </w:r>
      <w:r>
        <w:t>mıştır. N</w:t>
      </w:r>
      <w:r w:rsidRPr="0071284B">
        <w:t>ükleer reaktör inşa projesi ulusal ve uluslararası boyutta tartışılmaya devam et</w:t>
      </w:r>
      <w:r>
        <w:t>mektedir. Ç</w:t>
      </w:r>
      <w:r w:rsidRPr="0071284B">
        <w:t>ok sayıda hidro elektrik santrali inşa edilmesi planlamasında stratejik veya normal çevre etki değerlendirmesi çalışmaları yapılma</w:t>
      </w:r>
      <w:r>
        <w:t>mıştır.</w:t>
      </w:r>
    </w:p>
    <w:p w:rsidR="00D07B09" w:rsidRPr="0071284B" w:rsidRDefault="00D07B09" w:rsidP="00EE0A4A">
      <w:pPr>
        <w:jc w:val="both"/>
      </w:pPr>
    </w:p>
    <w:p w:rsidR="00D07B09" w:rsidRPr="0071284B" w:rsidRDefault="00D07B09" w:rsidP="00EE0A4A">
      <w:pPr>
        <w:jc w:val="both"/>
      </w:pPr>
      <w:r>
        <w:tab/>
        <w:t xml:space="preserve">Hava kalitesine ilişkin </w:t>
      </w:r>
      <w:r w:rsidRPr="0071284B">
        <w:t>sınırlı gelişme</w:t>
      </w:r>
      <w:r>
        <w:t xml:space="preserve"> kaydedilmiştir.</w:t>
      </w:r>
      <w:r w:rsidRPr="0071284B">
        <w:t xml:space="preserve"> Ulusal Emisyon Tavanları Direktifi</w:t>
      </w:r>
      <w:r>
        <w:t>’</w:t>
      </w:r>
      <w:r w:rsidRPr="0071284B">
        <w:t>nin uyumlaştırılması ve uygulanmasına ilişkin hazırlıklar</w:t>
      </w:r>
      <w:r>
        <w:t xml:space="preserve"> devam etmektedir.</w:t>
      </w:r>
      <w:r w:rsidRPr="0071284B">
        <w:t xml:space="preserve">   </w:t>
      </w:r>
    </w:p>
    <w:p w:rsidR="00D07B09" w:rsidRPr="0071284B" w:rsidRDefault="00D07B09" w:rsidP="00EE0A4A">
      <w:pPr>
        <w:jc w:val="both"/>
      </w:pPr>
    </w:p>
    <w:p w:rsidR="00D07B09" w:rsidRPr="0071284B" w:rsidRDefault="00D07B09" w:rsidP="00EE0A4A">
      <w:pPr>
        <w:jc w:val="both"/>
      </w:pPr>
      <w:r w:rsidRPr="0071284B">
        <w:tab/>
        <w:t>Atık yönetiminde mevzuat uyum ve uygulamanın geliştirilmesi sürecinde bazı gelişmeler kaydedil</w:t>
      </w:r>
      <w:r>
        <w:t>miştir. S</w:t>
      </w:r>
      <w:r w:rsidRPr="0071284B">
        <w:t>u kalitesine ilişkin düzenlemelerde olumlu gelişme</w:t>
      </w:r>
      <w:r>
        <w:t>ler</w:t>
      </w:r>
      <w:r w:rsidRPr="0071284B">
        <w:t xml:space="preserve"> yaşan</w:t>
      </w:r>
      <w:r>
        <w:t>makta olup, u</w:t>
      </w:r>
      <w:r w:rsidRPr="0071284B">
        <w:t xml:space="preserve">ygulamada </w:t>
      </w:r>
      <w:r>
        <w:t>bazı eksiklikler bulunmaktadır.</w:t>
      </w:r>
    </w:p>
    <w:p w:rsidR="00D07B09" w:rsidRPr="0071284B" w:rsidRDefault="00D07B09" w:rsidP="00EE0A4A">
      <w:pPr>
        <w:jc w:val="both"/>
      </w:pPr>
    </w:p>
    <w:p w:rsidR="00D07B09" w:rsidRPr="0071284B" w:rsidRDefault="00D07B09" w:rsidP="00EE0A4A">
      <w:pPr>
        <w:ind w:firstLine="708"/>
        <w:jc w:val="both"/>
      </w:pPr>
      <w:r w:rsidRPr="0071284B">
        <w:t xml:space="preserve">Doğanın korunması hususunda korunma altına alınan alanlara ilişkin bir Yönetmeliğin kabulü ile sınırlı gelişme </w:t>
      </w:r>
      <w:r>
        <w:t>kaydedilmiştir</w:t>
      </w:r>
      <w:r w:rsidRPr="0071284B">
        <w:t>. Potansiyel Natura 2000 alanları belirlenme</w:t>
      </w:r>
      <w:r>
        <w:t xml:space="preserve">miştir. Öte yandan, </w:t>
      </w:r>
      <w:r w:rsidRPr="0071284B">
        <w:t>su ve enerji altyapısına ilişkin projelerin bu alanlar üzerindeki olası olumsuz etkileri konusu</w:t>
      </w:r>
      <w:r>
        <w:t xml:space="preserve"> </w:t>
      </w:r>
      <w:r w:rsidRPr="0071284B">
        <w:t xml:space="preserve">sorun </w:t>
      </w:r>
      <w:r>
        <w:t>olmaktadır.</w:t>
      </w:r>
      <w:r w:rsidRPr="0071284B">
        <w:t xml:space="preserve">   </w:t>
      </w:r>
    </w:p>
    <w:p w:rsidR="00D07B09" w:rsidRPr="0071284B" w:rsidRDefault="00D07B09" w:rsidP="00EE0A4A">
      <w:pPr>
        <w:ind w:firstLine="708"/>
        <w:jc w:val="both"/>
      </w:pPr>
    </w:p>
    <w:p w:rsidR="00D07B09" w:rsidRPr="0071284B" w:rsidRDefault="00D07B09" w:rsidP="00EE0A4A">
      <w:pPr>
        <w:ind w:firstLine="708"/>
        <w:jc w:val="both"/>
      </w:pPr>
      <w:r w:rsidRPr="0071284B">
        <w:t>Sınai kirlenmenin kontrolü ve risk yönetimi alanında da ilgili Yönetmelik hükümlerinin tadili ve yağ kirliliğine ilişkin uluslararası anlaşma değişikliklerinin kabul edilip onaylanmasıyla ve uygulamaya ilişkin gelişmelerle bazı adımlar atıl</w:t>
      </w:r>
      <w:r>
        <w:t>mıştır.</w:t>
      </w:r>
    </w:p>
    <w:p w:rsidR="00D07B09" w:rsidRPr="0071284B" w:rsidRDefault="00D07B09" w:rsidP="00EE0A4A">
      <w:pPr>
        <w:jc w:val="both"/>
      </w:pPr>
    </w:p>
    <w:p w:rsidR="00D07B09" w:rsidRPr="0071284B" w:rsidRDefault="00D07B09" w:rsidP="00EE0A4A">
      <w:pPr>
        <w:ind w:firstLine="708"/>
        <w:jc w:val="both"/>
      </w:pPr>
      <w:r w:rsidRPr="0071284B">
        <w:t>REACH mevzuatına ilişkin gelişme olma</w:t>
      </w:r>
      <w:r>
        <w:t>mıştır. E</w:t>
      </w:r>
      <w:r w:rsidRPr="0071284B">
        <w:t>tkin uygulama kapasitesi</w:t>
      </w:r>
      <w:r>
        <w:t xml:space="preserve"> ise </w:t>
      </w:r>
      <w:r w:rsidRPr="0071284B">
        <w:t>hala yetersiz</w:t>
      </w:r>
      <w:r>
        <w:t>dir.</w:t>
      </w:r>
      <w:r w:rsidRPr="0071284B">
        <w:t xml:space="preserve"> </w:t>
      </w:r>
    </w:p>
    <w:p w:rsidR="00D07B09" w:rsidRPr="0071284B" w:rsidRDefault="00D07B09" w:rsidP="00EE0A4A">
      <w:pPr>
        <w:ind w:firstLine="708"/>
        <w:jc w:val="both"/>
      </w:pPr>
    </w:p>
    <w:p w:rsidR="00D07B09" w:rsidRPr="0071284B" w:rsidRDefault="00D07B09" w:rsidP="00EE0A4A">
      <w:pPr>
        <w:ind w:firstLine="708"/>
        <w:jc w:val="both"/>
      </w:pPr>
      <w:r>
        <w:t>İ</w:t>
      </w:r>
      <w:r w:rsidRPr="0071284B">
        <w:t>klim değişikliğine ilişkin gelişmeler sınırlı kal</w:t>
      </w:r>
      <w:r>
        <w:t>mıştır.</w:t>
      </w:r>
      <w:r w:rsidRPr="0071284B">
        <w:t xml:space="preserve"> 2023 yılına yönelik ulusal eylem planı kabul edilmiş olmasına k</w:t>
      </w:r>
      <w:r>
        <w:t>arşılık bazı genel iç hedefler</w:t>
      </w:r>
      <w:r w:rsidRPr="0071284B">
        <w:t xml:space="preserve"> hala belirsiz</w:t>
      </w:r>
      <w:r>
        <w:t>dir. F</w:t>
      </w:r>
      <w:r w:rsidRPr="0071284B">
        <w:t>arkındalık çalışmalarının arttırılması gerek</w:t>
      </w:r>
      <w:r>
        <w:t>mektedir.</w:t>
      </w:r>
      <w:r w:rsidRPr="0071284B">
        <w:tab/>
      </w:r>
    </w:p>
    <w:p w:rsidR="00D07B09" w:rsidRPr="0071284B" w:rsidRDefault="00D07B09" w:rsidP="00EE0A4A">
      <w:pPr>
        <w:jc w:val="both"/>
      </w:pPr>
    </w:p>
    <w:p w:rsidR="00D07B09" w:rsidRPr="00233B27" w:rsidRDefault="00D07B09" w:rsidP="00EE0A4A">
      <w:pPr>
        <w:jc w:val="both"/>
      </w:pPr>
      <w:r w:rsidRPr="0071284B">
        <w:tab/>
      </w:r>
      <w:r w:rsidRPr="00233B27">
        <w:t xml:space="preserve">Sera gazı salınımında önde gelen bir ülke olmasına rağmen Türkiye 2020 hedefini hala oluşturmamıştır. Bu alanda bir Yönetmelik kabul edilmiş ve emisyon ticareti farkındalığı arttırılmış, ancak sera gazı salınımına ilişkin bir hedef oluşturulamamıştır. </w:t>
      </w:r>
    </w:p>
    <w:p w:rsidR="00D07B09" w:rsidRPr="00233B27" w:rsidRDefault="00D07B09" w:rsidP="00EE0A4A">
      <w:pPr>
        <w:jc w:val="both"/>
      </w:pPr>
    </w:p>
    <w:p w:rsidR="00D07B09" w:rsidRPr="00233B27" w:rsidRDefault="00D07B09" w:rsidP="00233B27">
      <w:pPr>
        <w:ind w:firstLine="708"/>
        <w:jc w:val="both"/>
      </w:pPr>
      <w:r w:rsidRPr="00233B27">
        <w:t>İdari kapasite alanında ise ilerleme kaydedilmemiştir.</w:t>
      </w:r>
    </w:p>
    <w:p w:rsidR="00D07B09" w:rsidRPr="0071284B" w:rsidRDefault="00D07B09" w:rsidP="00EE0A4A"/>
    <w:p w:rsidR="00D07B09" w:rsidRPr="0071284B" w:rsidRDefault="00D07B09" w:rsidP="00EE0A4A">
      <w:pPr>
        <w:rPr>
          <w:b/>
          <w:bCs/>
        </w:rPr>
      </w:pPr>
      <w:r w:rsidRPr="0071284B">
        <w:rPr>
          <w:b/>
          <w:bCs/>
        </w:rPr>
        <w:t xml:space="preserve">Fasıl 28: </w:t>
      </w:r>
      <w:hyperlink r:id="rId34" w:history="1">
        <w:r w:rsidRPr="0071284B">
          <w:rPr>
            <w:b/>
            <w:bCs/>
          </w:rPr>
          <w:t>Tüketicinin ve Sağlığın Korunması</w:t>
        </w:r>
      </w:hyperlink>
      <w:r w:rsidRPr="0071284B">
        <w:rPr>
          <w:b/>
          <w:bCs/>
        </w:rPr>
        <w:t xml:space="preserve"> </w:t>
      </w:r>
      <w:r w:rsidRPr="0071284B">
        <w:rPr>
          <w:b/>
          <w:bCs/>
        </w:rPr>
        <w:br/>
      </w:r>
    </w:p>
    <w:p w:rsidR="00D07B09" w:rsidRPr="0071284B" w:rsidRDefault="00D07B09" w:rsidP="00EE0A4A">
      <w:pPr>
        <w:autoSpaceDE w:val="0"/>
        <w:autoSpaceDN w:val="0"/>
        <w:adjustRightInd w:val="0"/>
        <w:ind w:firstLine="708"/>
        <w:jc w:val="both"/>
        <w:rPr>
          <w:lang w:eastAsia="en-GB"/>
        </w:rPr>
      </w:pPr>
      <w:r w:rsidRPr="0071284B">
        <w:rPr>
          <w:lang w:eastAsia="en-GB"/>
        </w:rPr>
        <w:t>Tüketicinin korunması alanında sınırlı ilerleme kaydedilmiştir. Tüketici hareketi hala zayıftır. STK’ların politika oluşturma ve yasal düzenleme hazırlanma mekanizmalarına etkin katılımları ve daha iyi diyaloğun sağlanması gerekmektedir. Yıllık toplanan Tüketici Konseyi rapor döneminde toplanmadığından, bu alanda alınan kararların takibi mümkün bulunmamıştır.</w:t>
      </w:r>
    </w:p>
    <w:p w:rsidR="00D07B09" w:rsidRPr="0071284B" w:rsidRDefault="00D07B09" w:rsidP="00EE0A4A">
      <w:pPr>
        <w:autoSpaceDE w:val="0"/>
        <w:autoSpaceDN w:val="0"/>
        <w:adjustRightInd w:val="0"/>
        <w:jc w:val="both"/>
        <w:rPr>
          <w:lang w:eastAsia="en-GB"/>
        </w:rPr>
      </w:pPr>
    </w:p>
    <w:p w:rsidR="00D07B09" w:rsidRPr="0071284B" w:rsidRDefault="00D07B09" w:rsidP="00EE0A4A">
      <w:pPr>
        <w:autoSpaceDE w:val="0"/>
        <w:autoSpaceDN w:val="0"/>
        <w:adjustRightInd w:val="0"/>
        <w:jc w:val="both"/>
        <w:rPr>
          <w:lang w:eastAsia="en-GB"/>
        </w:rPr>
      </w:pPr>
      <w:r w:rsidRPr="0071284B">
        <w:rPr>
          <w:i/>
          <w:iCs/>
          <w:lang w:eastAsia="en-GB"/>
        </w:rPr>
        <w:tab/>
      </w:r>
      <w:r w:rsidRPr="0071284B">
        <w:rPr>
          <w:lang w:eastAsia="en-GB"/>
        </w:rPr>
        <w:t>Ürün güvenliği ile ilgili konularda</w:t>
      </w:r>
      <w:r w:rsidRPr="0071284B">
        <w:rPr>
          <w:i/>
          <w:iCs/>
          <w:lang w:eastAsia="en-GB"/>
        </w:rPr>
        <w:t xml:space="preserve"> </w:t>
      </w:r>
      <w:r w:rsidRPr="0071284B">
        <w:rPr>
          <w:lang w:eastAsia="en-GB"/>
        </w:rPr>
        <w:t>bazı ilerlemeler kaydedilmiştir. Temmuz 2012 tarihinde ilk toplantısını gerçekleştiren Piyasa Gözetimi ve Ürün Güvenliği Değerlendirme Kurulu tarafından 2012–2014 yıllarını kapsayan bir Ulusal Piyasa Gözetim Stratejisi kabul edilmiştir. Genel Ürün Güvenliği Mevzuatı</w:t>
      </w:r>
      <w:r>
        <w:rPr>
          <w:lang w:eastAsia="en-GB"/>
        </w:rPr>
        <w:t>’</w:t>
      </w:r>
      <w:r w:rsidRPr="0071284B">
        <w:rPr>
          <w:lang w:eastAsia="en-GB"/>
        </w:rPr>
        <w:t xml:space="preserve">nın gözden geçirilmesi alanında herhangi bir gelişme kaydedilmemiştir. </w:t>
      </w:r>
    </w:p>
    <w:p w:rsidR="00D07B09" w:rsidRPr="0071284B" w:rsidRDefault="00D07B09" w:rsidP="00EE0A4A">
      <w:pPr>
        <w:autoSpaceDE w:val="0"/>
        <w:autoSpaceDN w:val="0"/>
        <w:adjustRightInd w:val="0"/>
        <w:jc w:val="both"/>
        <w:rPr>
          <w:lang w:eastAsia="en-GB"/>
        </w:rPr>
      </w:pPr>
    </w:p>
    <w:p w:rsidR="00D07B09" w:rsidRPr="0071284B" w:rsidRDefault="00D07B09" w:rsidP="00EE0A4A">
      <w:pPr>
        <w:autoSpaceDE w:val="0"/>
        <w:autoSpaceDN w:val="0"/>
        <w:adjustRightInd w:val="0"/>
        <w:ind w:firstLine="708"/>
        <w:jc w:val="both"/>
        <w:rPr>
          <w:lang w:eastAsia="en-GB"/>
        </w:rPr>
      </w:pPr>
      <w:r w:rsidRPr="00233B27">
        <w:rPr>
          <w:lang w:eastAsia="en-GB"/>
        </w:rPr>
        <w:t xml:space="preserve">Gümrük ve Ticaret Bakanlığı tarafından çocuk bakım ürünleri, plastik dekorasyon malzemeleri, mıknatıslar, banyo malzemeleri ve mumların güvenlik risklerine dair bir tebliğ yayımlanmış ve anılan tebliğ ile gerekli minimum güvenlik şartları ortaya konulmuştur. Söz konusu Tebliğ tarafından AB müktesebatı ile </w:t>
      </w:r>
      <w:r>
        <w:rPr>
          <w:lang w:eastAsia="en-GB"/>
        </w:rPr>
        <w:t>düzenlenen</w:t>
      </w:r>
      <w:r w:rsidRPr="00233B27">
        <w:rPr>
          <w:lang w:eastAsia="en-GB"/>
        </w:rPr>
        <w:t xml:space="preserve"> standartlara ve ulusal standartlara atıfta bulunulmuş; ancak ürünlerin uygunluk kontrolü zorunlu tutulmamıştır. Ocak 2013 tarihinde yürürlüğe girecek olan bahse konu Tebliğ ithalata ilişkin özel hükümlere sahip bulunmamakta, AB üyesi ve AB dışı ülkelerin tamamı için geçerli bulunmaktadır.</w:t>
      </w:r>
    </w:p>
    <w:p w:rsidR="00D07B09" w:rsidRPr="0071284B" w:rsidRDefault="00D07B09" w:rsidP="00EE0A4A">
      <w:pPr>
        <w:autoSpaceDE w:val="0"/>
        <w:autoSpaceDN w:val="0"/>
        <w:adjustRightInd w:val="0"/>
        <w:jc w:val="both"/>
        <w:rPr>
          <w:lang w:eastAsia="en-GB"/>
        </w:rPr>
      </w:pPr>
    </w:p>
    <w:p w:rsidR="00D07B09" w:rsidRPr="0071284B" w:rsidRDefault="00D07B09" w:rsidP="00EE0A4A">
      <w:pPr>
        <w:autoSpaceDE w:val="0"/>
        <w:autoSpaceDN w:val="0"/>
        <w:adjustRightInd w:val="0"/>
        <w:jc w:val="both"/>
        <w:rPr>
          <w:lang w:eastAsia="en-GB"/>
        </w:rPr>
      </w:pPr>
      <w:r w:rsidRPr="0071284B">
        <w:rPr>
          <w:lang w:eastAsia="en-GB"/>
        </w:rPr>
        <w:tab/>
        <w:t>Ürün güvenliği ile ilgili olmayan konularda sınırlı bazı ilerlemeler kaydedilmiştir. Geçtiğimiz yıl içerisinde, Gümrük ve Ticaret Bakanlığı bünyesinde Tüketicinin Korunması ve Piyasa Gözetimi Genel Müdürlüğü'nün ihdası ile ilave tüketicinin korunması uzmanlarının istihdamı bu alandaki idari kapasitenin geliştirilmesine katkıda bulunmuştur. Akademisyenler ile kamu görevlilerinden müteşekkil bir komisyon halen AB yasaları ile uyumlu bir Tüketicilerin Korunması Mevzuatı</w:t>
      </w:r>
      <w:r>
        <w:rPr>
          <w:lang w:eastAsia="en-GB"/>
        </w:rPr>
        <w:t>’</w:t>
      </w:r>
      <w:r w:rsidRPr="0071284B">
        <w:rPr>
          <w:lang w:eastAsia="en-GB"/>
        </w:rPr>
        <w:t>nın oluşturulması yönünde</w:t>
      </w:r>
      <w:r>
        <w:rPr>
          <w:lang w:eastAsia="en-GB"/>
        </w:rPr>
        <w:t>ki</w:t>
      </w:r>
      <w:r w:rsidRPr="0071284B">
        <w:rPr>
          <w:lang w:eastAsia="en-GB"/>
        </w:rPr>
        <w:t xml:space="preserve"> faaliyetlerini sürdürmektedir. Bununla birlikte tüketicinin korunması çerçeve yasasının kabulü henüz gerçekleşmemiştir. Ancak hakem heyetleri ile tüketici mahkemelerin</w:t>
      </w:r>
      <w:r>
        <w:rPr>
          <w:lang w:eastAsia="en-GB"/>
        </w:rPr>
        <w:t>in</w:t>
      </w:r>
      <w:r w:rsidRPr="0071284B">
        <w:rPr>
          <w:lang w:eastAsia="en-GB"/>
        </w:rPr>
        <w:t xml:space="preserve"> güçlendirilmesine dönük çalışmalar yapılması gerekmektedir. Tüketici Mahkemesi kararları ile tüketici şikâyet istatistiklerine erişim mümkün bulunmamaktadır. </w:t>
      </w:r>
    </w:p>
    <w:p w:rsidR="00D07B09" w:rsidRPr="0071284B" w:rsidRDefault="00D07B09" w:rsidP="00EE0A4A">
      <w:pPr>
        <w:autoSpaceDE w:val="0"/>
        <w:autoSpaceDN w:val="0"/>
        <w:adjustRightInd w:val="0"/>
        <w:jc w:val="both"/>
        <w:rPr>
          <w:lang w:eastAsia="en-GB"/>
        </w:rPr>
      </w:pPr>
    </w:p>
    <w:p w:rsidR="00D07B09" w:rsidRPr="0071284B" w:rsidRDefault="00D07B09" w:rsidP="00EE0A4A">
      <w:pPr>
        <w:autoSpaceDE w:val="0"/>
        <w:autoSpaceDN w:val="0"/>
        <w:adjustRightInd w:val="0"/>
        <w:jc w:val="both"/>
        <w:rPr>
          <w:lang w:eastAsia="en-GB"/>
        </w:rPr>
      </w:pPr>
      <w:r w:rsidRPr="0071284B">
        <w:rPr>
          <w:lang w:eastAsia="en-GB"/>
        </w:rPr>
        <w:tab/>
        <w:t>Halk sağlığı</w:t>
      </w:r>
      <w:r w:rsidRPr="0071284B">
        <w:rPr>
          <w:b/>
          <w:bCs/>
          <w:lang w:eastAsia="en-GB"/>
        </w:rPr>
        <w:t xml:space="preserve"> </w:t>
      </w:r>
      <w:r w:rsidRPr="0071284B">
        <w:rPr>
          <w:lang w:eastAsia="en-GB"/>
        </w:rPr>
        <w:t>konusunda bazı ilerlemeler kaydedilmiştir.</w:t>
      </w:r>
      <w:r w:rsidRPr="0071284B">
        <w:rPr>
          <w:i/>
          <w:iCs/>
          <w:lang w:eastAsia="en-GB"/>
        </w:rPr>
        <w:t xml:space="preserve"> </w:t>
      </w:r>
      <w:r w:rsidRPr="0071284B">
        <w:rPr>
          <w:lang w:eastAsia="en-GB"/>
        </w:rPr>
        <w:t>Yatay konulara</w:t>
      </w:r>
      <w:r w:rsidRPr="0071284B">
        <w:rPr>
          <w:i/>
          <w:iCs/>
          <w:lang w:eastAsia="en-GB"/>
        </w:rPr>
        <w:t xml:space="preserve"> </w:t>
      </w:r>
      <w:r w:rsidRPr="0071284B">
        <w:rPr>
          <w:lang w:eastAsia="en-GB"/>
        </w:rPr>
        <w:t xml:space="preserve">ilişkin olarak, Sağlık Bakanlığı tarafından yürütülen sağlık sisteminin kurumsal reformu çalışmaları, Bakanlığın idari kapasitesinin geliştirilmesine katkıda bulunmuştur. Reform ayrıca, öncü halk sağlığı hizmetleri, bulaşıcı hastalıklar kontrol programları, laboratuarlar, tüketicilerin ve işçilerin güvenliği gibi konuların yürütülmesinden sorumlu Ulusal Halk Sağlığı Enstitüsü'nün kurulmasını da kapsamaktadır. </w:t>
      </w:r>
    </w:p>
    <w:p w:rsidR="00D07B09" w:rsidRPr="0071284B" w:rsidRDefault="00D07B09" w:rsidP="00EE0A4A">
      <w:pPr>
        <w:autoSpaceDE w:val="0"/>
        <w:autoSpaceDN w:val="0"/>
        <w:adjustRightInd w:val="0"/>
        <w:jc w:val="both"/>
        <w:rPr>
          <w:lang w:eastAsia="en-GB"/>
        </w:rPr>
      </w:pPr>
    </w:p>
    <w:p w:rsidR="00D07B09" w:rsidRDefault="00D07B09" w:rsidP="00EE0A4A">
      <w:pPr>
        <w:autoSpaceDE w:val="0"/>
        <w:autoSpaceDN w:val="0"/>
        <w:adjustRightInd w:val="0"/>
        <w:jc w:val="both"/>
        <w:rPr>
          <w:lang w:eastAsia="en-GB"/>
        </w:rPr>
      </w:pPr>
      <w:r w:rsidRPr="0071284B">
        <w:rPr>
          <w:i/>
          <w:iCs/>
          <w:lang w:eastAsia="en-GB"/>
        </w:rPr>
        <w:tab/>
      </w:r>
      <w:r w:rsidRPr="0071284B">
        <w:rPr>
          <w:lang w:eastAsia="en-GB"/>
        </w:rPr>
        <w:t>Tütün</w:t>
      </w:r>
      <w:r w:rsidRPr="0071284B">
        <w:rPr>
          <w:i/>
          <w:iCs/>
          <w:lang w:eastAsia="en-GB"/>
        </w:rPr>
        <w:t xml:space="preserve"> </w:t>
      </w:r>
      <w:r w:rsidRPr="0071284B">
        <w:rPr>
          <w:lang w:eastAsia="en-GB"/>
        </w:rPr>
        <w:t xml:space="preserve">konusunda, Türkiye AB müktesebatı yükümlülükleri ile ilgili Konsey Tavsiye Kararlarını büyük ölçüde karşılamaktadır. Türkiye, Dünya Sağlık Örgütü Tütün Kontrolü Çerçeve Anlaşması'na aktif taraf olan bölgedeki lider ülkelerden biri konumundadır.  Kan, dokular, hücreler ve organlara ilişkin müktesebat uyumu konusunda bazı ilerlemeler kaydedilmiştir. </w:t>
      </w:r>
    </w:p>
    <w:p w:rsidR="00D07B09" w:rsidRPr="0071284B" w:rsidRDefault="00D07B09" w:rsidP="00EE0A4A">
      <w:pPr>
        <w:autoSpaceDE w:val="0"/>
        <w:autoSpaceDN w:val="0"/>
        <w:adjustRightInd w:val="0"/>
        <w:jc w:val="both"/>
        <w:rPr>
          <w:lang w:eastAsia="en-GB"/>
        </w:rPr>
      </w:pPr>
    </w:p>
    <w:p w:rsidR="00D07B09" w:rsidRPr="0071284B" w:rsidRDefault="00D07B09" w:rsidP="00EE0A4A">
      <w:pPr>
        <w:ind w:firstLine="708"/>
        <w:jc w:val="both"/>
      </w:pPr>
      <w:r w:rsidRPr="0071284B">
        <w:rPr>
          <w:lang w:eastAsia="en-GB"/>
        </w:rPr>
        <w:t>Sonuç olarak;</w:t>
      </w:r>
      <w:r w:rsidRPr="0071284B">
        <w:rPr>
          <w:i/>
          <w:iCs/>
          <w:lang w:eastAsia="en-GB"/>
        </w:rPr>
        <w:t xml:space="preserve"> </w:t>
      </w:r>
      <w:r w:rsidRPr="0071284B">
        <w:rPr>
          <w:lang w:eastAsia="en-GB"/>
        </w:rPr>
        <w:t>tüketicinin ve sağlığın korunması alanında bazı ilerlemeler kaydedilmiştir. Tüketicinin korunması alanında, tüketicinin korunmasına dair çerçeve yasanın çıkarılması gerekmektedir. Türkiye Halk sağlığı</w:t>
      </w:r>
      <w:r w:rsidRPr="0071284B">
        <w:rPr>
          <w:b/>
          <w:bCs/>
          <w:lang w:eastAsia="en-GB"/>
        </w:rPr>
        <w:t xml:space="preserve"> </w:t>
      </w:r>
      <w:r w:rsidRPr="0071284B">
        <w:rPr>
          <w:lang w:eastAsia="en-GB"/>
        </w:rPr>
        <w:t xml:space="preserve">konusunda yeni bir takım idari yapılar tesis etmiştir. Bu yapıların çalışmasının yakından takibi gerekmektedir. </w:t>
      </w:r>
    </w:p>
    <w:p w:rsidR="00D07B09" w:rsidRPr="0071284B" w:rsidRDefault="00D07B09" w:rsidP="00EE0A4A">
      <w:pPr>
        <w:autoSpaceDE w:val="0"/>
        <w:autoSpaceDN w:val="0"/>
        <w:adjustRightInd w:val="0"/>
        <w:jc w:val="both"/>
        <w:rPr>
          <w:b/>
          <w:bCs/>
        </w:rPr>
      </w:pPr>
    </w:p>
    <w:p w:rsidR="00D07B09" w:rsidRPr="0071284B" w:rsidRDefault="00D07B09" w:rsidP="00EE0A4A">
      <w:pPr>
        <w:rPr>
          <w:b/>
          <w:bCs/>
        </w:rPr>
      </w:pPr>
      <w:r w:rsidRPr="0071284B">
        <w:rPr>
          <w:b/>
          <w:bCs/>
        </w:rPr>
        <w:t xml:space="preserve">Fasıl 29: </w:t>
      </w:r>
      <w:hyperlink r:id="rId35" w:history="1">
        <w:r w:rsidRPr="0071284B">
          <w:rPr>
            <w:b/>
            <w:bCs/>
          </w:rPr>
          <w:t>Gümrük Birliği</w:t>
        </w:r>
      </w:hyperlink>
      <w:r w:rsidRPr="0071284B">
        <w:rPr>
          <w:b/>
          <w:bCs/>
        </w:rPr>
        <w:t xml:space="preserve"> </w:t>
      </w:r>
      <w:r w:rsidRPr="0071284B">
        <w:rPr>
          <w:b/>
          <w:bCs/>
        </w:rPr>
        <w:br/>
      </w:r>
    </w:p>
    <w:p w:rsidR="00D07B09" w:rsidRPr="0071284B" w:rsidRDefault="00D07B09" w:rsidP="00EE0A4A">
      <w:pPr>
        <w:ind w:firstLine="720"/>
        <w:jc w:val="both"/>
      </w:pPr>
      <w:r w:rsidRPr="0071284B">
        <w:t>2006 tarihli Konsey Kararı uyarınca müzakere süreci başlatılmayan sekiz fasıldan biri olan “Gümrük Birliği Faslı” 11 Aralık 2006 tarihinde Konsey (Genel İşler ve Dış İlişkiler Konseyi) tarafından kabul edilen ve 14-15 Aralık 2006 tarihlerinde AB Zirve toplantısında onaylanan Türkiye ile müzakerelere ilişkin kararlar kapsamındaki 8 fasıl arasında</w:t>
      </w:r>
      <w:r>
        <w:t xml:space="preserve"> olup, Türkiye’nin </w:t>
      </w:r>
      <w:r w:rsidRPr="0071284B">
        <w:t>Güney Kıbrıs Rum Yönetiminde kayıtlı olan ya da son uğradığı liman Güney Kıbrıs Rum Yönetimi</w:t>
      </w:r>
      <w:r>
        <w:t>’</w:t>
      </w:r>
      <w:r w:rsidRPr="0071284B">
        <w:t>nde olan gemiler ve uçaklar tarafından taşınan malların serbest dolaşımına yönelik kısıtlamaları devam ettiği sürece</w:t>
      </w:r>
      <w:r>
        <w:t>,</w:t>
      </w:r>
      <w:r w:rsidRPr="0071284B">
        <w:t xml:space="preserve"> bu alandaki AB müktesebatı tam olarak uygula</w:t>
      </w:r>
      <w:r>
        <w:t>nmış olmayacaktır.</w:t>
      </w:r>
    </w:p>
    <w:p w:rsidR="00D07B09" w:rsidRPr="0071284B" w:rsidRDefault="00D07B09" w:rsidP="00EE0A4A">
      <w:pPr>
        <w:ind w:firstLine="720"/>
        <w:jc w:val="both"/>
      </w:pPr>
    </w:p>
    <w:p w:rsidR="00D07B09" w:rsidRPr="0071284B" w:rsidRDefault="00D07B09" w:rsidP="00EE0A4A">
      <w:pPr>
        <w:ind w:firstLine="720"/>
        <w:jc w:val="both"/>
      </w:pPr>
      <w:r w:rsidRPr="0071284B">
        <w:t xml:space="preserve"> Türkiye-AB Gümrük Birliği nedeniyle Türkiye’nin genel uyum düzeyi yüksek</w:t>
      </w:r>
      <w:r>
        <w:t>tir. G</w:t>
      </w:r>
      <w:r w:rsidRPr="0071284B">
        <w:t>ümrük mevzuatı bağlamında son bir yıl içindeki ilerleme değişik düzeylerde</w:t>
      </w:r>
      <w:r>
        <w:t>dir.</w:t>
      </w:r>
    </w:p>
    <w:p w:rsidR="00D07B09" w:rsidRPr="003B3020" w:rsidRDefault="00D07B09" w:rsidP="00EE0A4A">
      <w:pPr>
        <w:ind w:firstLine="720"/>
        <w:jc w:val="both"/>
        <w:rPr>
          <w:sz w:val="20"/>
          <w:szCs w:val="20"/>
        </w:rPr>
      </w:pPr>
    </w:p>
    <w:p w:rsidR="00D07B09" w:rsidRPr="0071284B" w:rsidRDefault="00D07B09" w:rsidP="00EE0A4A">
      <w:pPr>
        <w:ind w:firstLine="720"/>
        <w:jc w:val="both"/>
      </w:pPr>
      <w:r w:rsidRPr="0071284B">
        <w:t>Gümrük Kanunu’nun uygulanmasına ilişkin değişiklikler gerçekleştiril</w:t>
      </w:r>
      <w:r>
        <w:t>miştir.</w:t>
      </w:r>
      <w:r w:rsidRPr="0071284B">
        <w:t xml:space="preserve"> Kombine Nomenklatür</w:t>
      </w:r>
      <w:r>
        <w:t xml:space="preserve"> sınıflandırmaların bir kısmı</w:t>
      </w:r>
      <w:r w:rsidRPr="0071284B">
        <w:t xml:space="preserve"> uyumlaştırıl</w:t>
      </w:r>
      <w:r>
        <w:t>mıştır. Ö</w:t>
      </w:r>
      <w:r w:rsidRPr="0071284B">
        <w:t>zellikle fikri mülkiyet haklarına ilişkin gümrük uygulamalarında uyumun arttırılması gere</w:t>
      </w:r>
      <w:r>
        <w:t>kmektedir.</w:t>
      </w:r>
      <w:r w:rsidRPr="0071284B">
        <w:t xml:space="preserve"> Serbest bölgeler ve gümrük muaf</w:t>
      </w:r>
      <w:r>
        <w:t>iyetine ilişkin Türk mevzuatı</w:t>
      </w:r>
      <w:r w:rsidRPr="0071284B">
        <w:t xml:space="preserve">, özellikle gümrüksüz satış mağazalarının statüsü nedeniyle AB müktesebatı ile uyumlu </w:t>
      </w:r>
      <w:r>
        <w:t>değildir.</w:t>
      </w:r>
      <w:r w:rsidRPr="0071284B">
        <w:t xml:space="preserve"> Serbest dolaşıma girmiş üçüncü ülke menşeli tekstil ve konfeksiyon ürünlerinde  vergi artırımı uygulamasına gi</w:t>
      </w:r>
      <w:r>
        <w:t>dilmiştir.</w:t>
      </w:r>
    </w:p>
    <w:p w:rsidR="00D07B09" w:rsidRPr="003B3020" w:rsidRDefault="00D07B09" w:rsidP="00EE0A4A">
      <w:pPr>
        <w:jc w:val="both"/>
        <w:rPr>
          <w:sz w:val="20"/>
          <w:szCs w:val="20"/>
        </w:rPr>
      </w:pPr>
    </w:p>
    <w:p w:rsidR="00D07B09" w:rsidRPr="0071284B" w:rsidRDefault="00D07B09" w:rsidP="00504A7C">
      <w:pPr>
        <w:ind w:firstLine="708"/>
        <w:jc w:val="both"/>
      </w:pPr>
      <w:r w:rsidRPr="0071284B">
        <w:t>Gözetim ve tarife kotaları (özellikle işlenmiş tarım ürünlerinde) uygulamalarına ilişkin mevzuat uyumu tam olarak gerçekleştirilm</w:t>
      </w:r>
      <w:r>
        <w:t xml:space="preserve">emiş olup, bu alanda </w:t>
      </w:r>
      <w:r w:rsidRPr="0071284B">
        <w:t>sorunlar görül</w:t>
      </w:r>
      <w:r>
        <w:t>mektedir.</w:t>
      </w:r>
      <w:r w:rsidRPr="0071284B">
        <w:t xml:space="preserve"> AB pazarında serbest dolaşımda bulunan</w:t>
      </w:r>
      <w:r>
        <w:t xml:space="preserve"> üçüncü ülkeler menşeli mallar</w:t>
      </w:r>
      <w:r w:rsidRPr="0071284B">
        <w:t xml:space="preserve"> uygunluk değerlendirmesi nedeniyle Gümrük Birliği kurallarına aykırı bir şekilde menşe beyanına tabi tutulmaya devam e</w:t>
      </w:r>
      <w:r>
        <w:t>tmektedir.</w:t>
      </w:r>
      <w:r w:rsidRPr="0071284B">
        <w:t xml:space="preserve">  </w:t>
      </w:r>
    </w:p>
    <w:p w:rsidR="00D07B09" w:rsidRPr="003B3020" w:rsidRDefault="00D07B09" w:rsidP="00EE0A4A">
      <w:pPr>
        <w:ind w:firstLine="720"/>
        <w:jc w:val="both"/>
        <w:rPr>
          <w:sz w:val="20"/>
          <w:szCs w:val="20"/>
        </w:rPr>
      </w:pPr>
      <w:r w:rsidRPr="0071284B">
        <w:t xml:space="preserve"> </w:t>
      </w:r>
    </w:p>
    <w:p w:rsidR="00D07B09" w:rsidRPr="0071284B" w:rsidRDefault="00D07B09" w:rsidP="00EE0A4A">
      <w:pPr>
        <w:ind w:firstLine="708"/>
        <w:jc w:val="both"/>
      </w:pPr>
      <w:r w:rsidRPr="0071284B">
        <w:t>İdari kapasite açısından kayda değer gelişmeler olduğu ve Gümrük ve Ticaret Bakanlığı’nın güvenlik uygulamalarına ilişkin yaptırım kapasitesini daha da güçlendir</w:t>
      </w:r>
      <w:r>
        <w:t>mektedir. D</w:t>
      </w:r>
      <w:r w:rsidRPr="0071284B">
        <w:t>iğer taraftan fiziki kontrollerin azaltılmasına rağmen risk bazlı denetim sistemle</w:t>
      </w:r>
      <w:r>
        <w:t>ri</w:t>
      </w:r>
      <w:r w:rsidRPr="0071284B">
        <w:t xml:space="preserve"> hala iyileştirilmeye</w:t>
      </w:r>
      <w:r>
        <w:t xml:space="preserve"> ihtiyaç duymaktadır. T</w:t>
      </w:r>
      <w:r w:rsidRPr="0071284B">
        <w:t>aklit</w:t>
      </w:r>
      <w:r>
        <w:t xml:space="preserve"> mallar Türkiye üzerinden AB’y</w:t>
      </w:r>
      <w:r w:rsidRPr="0071284B">
        <w:t>e girmeye devam et</w:t>
      </w:r>
      <w:r>
        <w:t>mektedir. Ş</w:t>
      </w:r>
      <w:r w:rsidRPr="0071284B">
        <w:t>ikayet üzerine el koymalarda artış görülmekle birlikte</w:t>
      </w:r>
      <w:r>
        <w:t xml:space="preserve"> resen yapılan denetim sayısı</w:t>
      </w:r>
      <w:r w:rsidRPr="0071284B">
        <w:t xml:space="preserve"> azal</w:t>
      </w:r>
      <w:r>
        <w:t>mıştır.</w:t>
      </w:r>
    </w:p>
    <w:p w:rsidR="00D07B09" w:rsidRPr="003B3020" w:rsidRDefault="00D07B09" w:rsidP="00EE0A4A">
      <w:pPr>
        <w:ind w:firstLine="720"/>
        <w:jc w:val="both"/>
        <w:rPr>
          <w:sz w:val="20"/>
          <w:szCs w:val="20"/>
        </w:rPr>
      </w:pPr>
    </w:p>
    <w:p w:rsidR="00D07B09" w:rsidRPr="0071284B" w:rsidRDefault="00D07B09" w:rsidP="00EE0A4A">
      <w:pPr>
        <w:ind w:firstLine="708"/>
        <w:jc w:val="both"/>
      </w:pPr>
      <w:r w:rsidRPr="0071284B">
        <w:t>Ulusal transit sisteminin teknolojik altyapısındaki gelişme ve olanaklara rağmen Türkiye’nin Ortak T</w:t>
      </w:r>
      <w:r>
        <w:t>ransit Sözleşmesi’ne katılımı</w:t>
      </w:r>
      <w:r w:rsidRPr="0071284B">
        <w:t xml:space="preserve"> halen gerçekleşme</w:t>
      </w:r>
      <w:r>
        <w:t>miştir. T</w:t>
      </w:r>
      <w:r w:rsidRPr="0071284B">
        <w:t>arifeler açısı</w:t>
      </w:r>
      <w:r>
        <w:t xml:space="preserve">ndan ise elektronik sistemler </w:t>
      </w:r>
      <w:r w:rsidRPr="0071284B">
        <w:t>halen devreye alınma</w:t>
      </w:r>
      <w:r>
        <w:t>mıştır. İ</w:t>
      </w:r>
      <w:r w:rsidRPr="0071284B">
        <w:t>şlemlerin elektronik olarak tamamlanmasında, ihracat dışında</w:t>
      </w:r>
      <w:r>
        <w:t xml:space="preserve"> </w:t>
      </w:r>
      <w:r w:rsidRPr="0071284B">
        <w:t>gelişme olma</w:t>
      </w:r>
      <w:r>
        <w:t>mıştır.</w:t>
      </w:r>
      <w:r w:rsidRPr="0071284B">
        <w:t xml:space="preserve"> </w:t>
      </w:r>
    </w:p>
    <w:p w:rsidR="00D07B09" w:rsidRDefault="00D07B09" w:rsidP="00EE0A4A"/>
    <w:p w:rsidR="00D07B09" w:rsidRDefault="00D07B09" w:rsidP="00EE0A4A"/>
    <w:p w:rsidR="00D07B09" w:rsidRDefault="00D07B09" w:rsidP="00EE0A4A"/>
    <w:p w:rsidR="00D07B09" w:rsidRPr="0071284B" w:rsidRDefault="00D07B09" w:rsidP="00EE0A4A"/>
    <w:p w:rsidR="00D07B09" w:rsidRPr="0071284B" w:rsidRDefault="00D07B09" w:rsidP="00EE0A4A">
      <w:pPr>
        <w:rPr>
          <w:b/>
          <w:bCs/>
        </w:rPr>
      </w:pPr>
      <w:r w:rsidRPr="0071284B">
        <w:rPr>
          <w:b/>
          <w:bCs/>
        </w:rPr>
        <w:t xml:space="preserve">Fasıl 30: </w:t>
      </w:r>
      <w:hyperlink r:id="rId36" w:history="1">
        <w:r w:rsidRPr="0071284B">
          <w:rPr>
            <w:b/>
            <w:bCs/>
          </w:rPr>
          <w:t>Dış İlişkiler</w:t>
        </w:r>
      </w:hyperlink>
      <w:r w:rsidRPr="0071284B">
        <w:rPr>
          <w:b/>
          <w:bCs/>
        </w:rPr>
        <w:t xml:space="preserve"> </w:t>
      </w:r>
      <w:r w:rsidRPr="0071284B">
        <w:rPr>
          <w:b/>
          <w:bCs/>
        </w:rPr>
        <w:br/>
      </w:r>
    </w:p>
    <w:p w:rsidR="00D07B09" w:rsidRPr="0071284B" w:rsidRDefault="00D07B09" w:rsidP="00EE0A4A">
      <w:pPr>
        <w:ind w:firstLine="720"/>
        <w:jc w:val="both"/>
      </w:pPr>
      <w:r w:rsidRPr="0071284B">
        <w:t>Dış İlişkiler başlığında, son dönemde sınırlı gelişmeler yaşan</w:t>
      </w:r>
      <w:r>
        <w:t>mıştır.</w:t>
      </w:r>
      <w:r w:rsidRPr="0071284B">
        <w:t xml:space="preserve"> </w:t>
      </w:r>
    </w:p>
    <w:p w:rsidR="00D07B09" w:rsidRPr="0071284B" w:rsidRDefault="00D07B09" w:rsidP="00EE0A4A">
      <w:pPr>
        <w:ind w:firstLine="720"/>
        <w:jc w:val="both"/>
      </w:pPr>
    </w:p>
    <w:p w:rsidR="00D07B09" w:rsidRDefault="00D07B09" w:rsidP="00EE0A4A">
      <w:pPr>
        <w:ind w:firstLine="708"/>
        <w:jc w:val="both"/>
      </w:pPr>
      <w:r w:rsidRPr="0071284B">
        <w:t xml:space="preserve">Ortak Ticaret Politikası’na uyum yüksek </w:t>
      </w:r>
      <w:r>
        <w:t>düzeydedir.</w:t>
      </w:r>
      <w:r w:rsidRPr="0071284B">
        <w:t xml:space="preserve"> Genelleştirilmiş Tercihler Sistemi mevzuatı açısından ülke kapsamı ve menşe kurallarında uyumun artması gerek</w:t>
      </w:r>
      <w:r>
        <w:t>mektedir.</w:t>
      </w:r>
    </w:p>
    <w:p w:rsidR="00D07B09" w:rsidRPr="0071284B" w:rsidRDefault="00D07B09" w:rsidP="00EE0A4A">
      <w:pPr>
        <w:ind w:firstLine="708"/>
        <w:jc w:val="both"/>
      </w:pPr>
    </w:p>
    <w:p w:rsidR="00D07B09" w:rsidRPr="0071284B" w:rsidRDefault="00D07B09" w:rsidP="00EE0A4A">
      <w:pPr>
        <w:ind w:firstLine="708"/>
        <w:jc w:val="both"/>
      </w:pPr>
      <w:r w:rsidRPr="0071284B">
        <w:t xml:space="preserve">Son dönem içerisinde Türkiye süre uzatmaları da dahil olmak üzere toplam sekiz korunma önlemi soruşturması tamamlamıştır. </w:t>
      </w:r>
      <w:r>
        <w:t>Korunma önlemlerinin fazlalığı</w:t>
      </w:r>
      <w:r w:rsidRPr="0071284B">
        <w:t xml:space="preserve"> Ortak Ticaret Politikası’na uyumu olumsuz etkile</w:t>
      </w:r>
      <w:r>
        <w:t>mektedir.</w:t>
      </w:r>
      <w:r w:rsidRPr="0071284B">
        <w:t xml:space="preserve"> </w:t>
      </w:r>
    </w:p>
    <w:p w:rsidR="00D07B09" w:rsidRPr="0071284B" w:rsidRDefault="00D07B09" w:rsidP="00EE0A4A">
      <w:pPr>
        <w:jc w:val="both"/>
      </w:pPr>
    </w:p>
    <w:p w:rsidR="00D07B09" w:rsidRPr="0071284B" w:rsidRDefault="00D07B09" w:rsidP="00EE0A4A">
      <w:pPr>
        <w:ind w:firstLine="720"/>
        <w:jc w:val="both"/>
      </w:pPr>
      <w:r w:rsidRPr="0071284B">
        <w:t xml:space="preserve">DTÖ, OECD ve G–20 bağlamındaki koordinasyon seviyesi tatmin edici </w:t>
      </w:r>
      <w:r>
        <w:t>düzeyde olup</w:t>
      </w:r>
      <w:r w:rsidRPr="0071284B">
        <w:t xml:space="preserve">, daha da geliştirilmesi gündeme getirilmektedir. </w:t>
      </w:r>
    </w:p>
    <w:p w:rsidR="00D07B09" w:rsidRPr="0071284B" w:rsidRDefault="00D07B09" w:rsidP="00EE0A4A">
      <w:pPr>
        <w:jc w:val="both"/>
      </w:pPr>
    </w:p>
    <w:p w:rsidR="00D07B09" w:rsidRPr="0071284B" w:rsidRDefault="00D07B09" w:rsidP="00EE0A4A">
      <w:pPr>
        <w:ind w:firstLine="708"/>
        <w:jc w:val="both"/>
      </w:pPr>
      <w:r w:rsidRPr="0071284B">
        <w:t>Yeni bir yönetmelik taslağı hazırlıkları devam etmesine rağmen orta ve uzun vadeli ihracat kredileri bağlamındaki uyumda ilerleme kaydedilme</w:t>
      </w:r>
      <w:r>
        <w:t>miştir. Ç</w:t>
      </w:r>
      <w:r w:rsidRPr="0071284B">
        <w:t>ift kullanımlı mallar ve teknolojilerin ihracatında tek bir konsolide liste kullanımı ile mevzuatın geliştirilmesi</w:t>
      </w:r>
      <w:r>
        <w:t xml:space="preserve"> </w:t>
      </w:r>
      <w:r w:rsidRPr="0071284B">
        <w:t>mümkün</w:t>
      </w:r>
      <w:r>
        <w:t>dür.</w:t>
      </w:r>
      <w:r w:rsidRPr="0071284B">
        <w:t xml:space="preserve">  </w:t>
      </w:r>
    </w:p>
    <w:p w:rsidR="00D07B09" w:rsidRPr="0071284B" w:rsidRDefault="00D07B09" w:rsidP="00EE0A4A">
      <w:pPr>
        <w:ind w:firstLine="720"/>
        <w:jc w:val="both"/>
      </w:pPr>
    </w:p>
    <w:p w:rsidR="00D07B09" w:rsidRDefault="00D07B09" w:rsidP="00EE0A4A">
      <w:pPr>
        <w:ind w:firstLine="720"/>
        <w:jc w:val="both"/>
      </w:pPr>
      <w:r w:rsidRPr="0071284B">
        <w:t>Diğer taraftan, Rapor kapsamında: 3. ülkelerle ikili anlaşmalar alanında ilerleme sağlan</w:t>
      </w:r>
      <w:r>
        <w:t>mıştır.</w:t>
      </w:r>
      <w:r w:rsidRPr="0071284B">
        <w:t xml:space="preserve"> Lübnan Anlaşması’nın yürürlüğe gir</w:t>
      </w:r>
      <w:r>
        <w:t>miş</w:t>
      </w:r>
      <w:r w:rsidRPr="0071284B">
        <w:t>, Morityus ve</w:t>
      </w:r>
      <w:r>
        <w:t xml:space="preserve"> Güney Kore ile Anlaşma metni</w:t>
      </w:r>
      <w:r w:rsidRPr="0071284B">
        <w:t xml:space="preserve"> imzalan</w:t>
      </w:r>
      <w:r>
        <w:t>mış, Suriye STA’sı</w:t>
      </w:r>
      <w:r w:rsidRPr="0071284B">
        <w:t xml:space="preserve"> askıya alın</w:t>
      </w:r>
      <w:r>
        <w:t>mış</w:t>
      </w:r>
      <w:r w:rsidRPr="0071284B">
        <w:t xml:space="preserve">, Bosna-Hersek ve Hırvatistan STA’larının menşe protokollerinde menşe kümülasyonuna </w:t>
      </w:r>
      <w:r>
        <w:t xml:space="preserve">imkan tanıyacak değişiklikler </w:t>
      </w:r>
      <w:r w:rsidRPr="0071284B">
        <w:t>yayımlan</w:t>
      </w:r>
      <w:r>
        <w:t>mıştır.</w:t>
      </w:r>
    </w:p>
    <w:p w:rsidR="00D07B09" w:rsidRPr="0071284B" w:rsidRDefault="00D07B09" w:rsidP="00EE0A4A">
      <w:pPr>
        <w:ind w:firstLine="720"/>
        <w:jc w:val="both"/>
      </w:pPr>
    </w:p>
    <w:p w:rsidR="00D07B09" w:rsidRPr="0071284B" w:rsidRDefault="00D07B09" w:rsidP="00EE0A4A">
      <w:pPr>
        <w:ind w:firstLine="720"/>
        <w:jc w:val="both"/>
      </w:pPr>
      <w:r w:rsidRPr="0071284B">
        <w:t>Kalkınma politikası ve insani yardım alanında da bazı gelişmeler kaydedilmiş olup, 2011 yılında Türkiye’nin sağladığı resmi yardım miktarı 944 milyon Avroya ulaş</w:t>
      </w:r>
      <w:r>
        <w:t>mıştır. Bu alandaki uyum</w:t>
      </w:r>
      <w:r w:rsidRPr="0071284B">
        <w:t xml:space="preserve"> tatmin edici </w:t>
      </w:r>
      <w:r>
        <w:t>düzeydedir.</w:t>
      </w:r>
    </w:p>
    <w:p w:rsidR="00D07B09" w:rsidRPr="0071284B" w:rsidRDefault="00D07B09" w:rsidP="00EE0A4A">
      <w:pPr>
        <w:jc w:val="both"/>
      </w:pPr>
    </w:p>
    <w:p w:rsidR="00D07B09" w:rsidRPr="0071284B" w:rsidRDefault="00D07B09" w:rsidP="00EE0A4A">
      <w:pPr>
        <w:rPr>
          <w:b/>
          <w:bCs/>
        </w:rPr>
      </w:pPr>
      <w:r w:rsidRPr="0071284B">
        <w:rPr>
          <w:b/>
          <w:bCs/>
        </w:rPr>
        <w:t xml:space="preserve">Fasıl 31: </w:t>
      </w:r>
      <w:hyperlink r:id="rId37" w:history="1">
        <w:r w:rsidRPr="0071284B">
          <w:rPr>
            <w:b/>
            <w:bCs/>
          </w:rPr>
          <w:t>Dış, Güvenlik ve Savunma Politikaları</w:t>
        </w:r>
      </w:hyperlink>
      <w:r w:rsidRPr="0071284B">
        <w:rPr>
          <w:b/>
          <w:bCs/>
        </w:rPr>
        <w:t xml:space="preserve"> </w:t>
      </w:r>
      <w:r w:rsidRPr="0071284B">
        <w:rPr>
          <w:b/>
          <w:bCs/>
        </w:rPr>
        <w:br/>
      </w:r>
    </w:p>
    <w:p w:rsidR="00D07B09" w:rsidRPr="0071284B" w:rsidRDefault="00D07B09" w:rsidP="00EE0A4A">
      <w:pPr>
        <w:jc w:val="both"/>
      </w:pPr>
      <w:r w:rsidRPr="0071284B">
        <w:tab/>
        <w:t>Türkiye ile AB arasında bölgesel ve küresel boyutta dış politika ve güvenlik diyaloğu</w:t>
      </w:r>
      <w:r>
        <w:t xml:space="preserve"> artmıştır. </w:t>
      </w:r>
      <w:r w:rsidRPr="0071284B">
        <w:t>Türkiye</w:t>
      </w:r>
      <w:r>
        <w:t xml:space="preserve"> </w:t>
      </w:r>
      <w:r w:rsidRPr="0071284B">
        <w:t>ortak dış ve güvenlik politikasına ilişkin Konsey Kararları</w:t>
      </w:r>
      <w:r>
        <w:t>’</w:t>
      </w:r>
      <w:r w:rsidRPr="0071284B">
        <w:t>nın önemli bir bölümüne</w:t>
      </w:r>
      <w:r>
        <w:t xml:space="preserve"> </w:t>
      </w:r>
      <w:r w:rsidRPr="0071284B">
        <w:t>(özellikle Suriye, İran, Libya, Tunus, Mısır ve Bahreyn ile ilgili olanlara)  de uyma</w:t>
      </w:r>
      <w:r>
        <w:t xml:space="preserve">maktadır. </w:t>
      </w:r>
    </w:p>
    <w:p w:rsidR="00D07B09" w:rsidRPr="0071284B" w:rsidRDefault="00D07B09" w:rsidP="00EE0A4A">
      <w:pPr>
        <w:jc w:val="both"/>
      </w:pPr>
    </w:p>
    <w:p w:rsidR="00D07B09" w:rsidRPr="0071284B" w:rsidRDefault="00D07B09" w:rsidP="00EE0A4A">
      <w:pPr>
        <w:jc w:val="both"/>
      </w:pPr>
      <w:r w:rsidRPr="0071284B">
        <w:tab/>
      </w:r>
      <w:r>
        <w:t xml:space="preserve">Irak ve İsrail haricinde </w:t>
      </w:r>
      <w:r w:rsidRPr="0071284B">
        <w:t>Türkiye</w:t>
      </w:r>
      <w:r>
        <w:t xml:space="preserve">’nin ikili ilişkileri olumlu değerlendirilmektedir. </w:t>
      </w:r>
      <w:r w:rsidRPr="0071284B">
        <w:t>Suriye konusunda alınan tutum</w:t>
      </w:r>
      <w:r>
        <w:t>a</w:t>
      </w:r>
      <w:r w:rsidRPr="0071284B">
        <w:t xml:space="preserve"> da özellikle </w:t>
      </w:r>
      <w:r>
        <w:t>dikkat çekilmektedir.</w:t>
      </w:r>
    </w:p>
    <w:p w:rsidR="00D07B09" w:rsidRPr="0071284B" w:rsidRDefault="00D07B09" w:rsidP="00EE0A4A">
      <w:pPr>
        <w:jc w:val="both"/>
      </w:pPr>
    </w:p>
    <w:p w:rsidR="00D07B09" w:rsidRPr="0071284B" w:rsidRDefault="00D07B09" w:rsidP="00EE0A4A">
      <w:pPr>
        <w:jc w:val="both"/>
      </w:pPr>
      <w:r w:rsidRPr="0071284B">
        <w:tab/>
        <w:t xml:space="preserve">Çift kullanımlı malların ihracatına ilişkin olarak Türkiye AB pozisyonlarına uyum </w:t>
      </w:r>
      <w:r>
        <w:t>sağlamamaktadır.</w:t>
      </w:r>
    </w:p>
    <w:p w:rsidR="00D07B09" w:rsidRPr="0071284B" w:rsidRDefault="00D07B09" w:rsidP="00EE0A4A"/>
    <w:p w:rsidR="00D07B09" w:rsidRPr="0071284B" w:rsidRDefault="00D07B09" w:rsidP="00EE0A4A">
      <w:pPr>
        <w:rPr>
          <w:b/>
          <w:bCs/>
        </w:rPr>
      </w:pPr>
      <w:r w:rsidRPr="0071284B">
        <w:rPr>
          <w:b/>
          <w:bCs/>
        </w:rPr>
        <w:t xml:space="preserve">Fasıl 32: </w:t>
      </w:r>
      <w:hyperlink r:id="rId38" w:history="1">
        <w:r w:rsidRPr="0071284B">
          <w:rPr>
            <w:b/>
            <w:bCs/>
          </w:rPr>
          <w:t>Mali Kontrol</w:t>
        </w:r>
      </w:hyperlink>
      <w:r w:rsidRPr="0071284B">
        <w:rPr>
          <w:b/>
          <w:bCs/>
        </w:rPr>
        <w:t xml:space="preserve"> </w:t>
      </w:r>
      <w:r w:rsidRPr="0071284B">
        <w:rPr>
          <w:b/>
          <w:bCs/>
        </w:rPr>
        <w:br/>
      </w:r>
    </w:p>
    <w:p w:rsidR="00D07B09" w:rsidRPr="0071284B" w:rsidRDefault="00D07B09" w:rsidP="00EE0A4A">
      <w:pPr>
        <w:jc w:val="both"/>
      </w:pPr>
      <w:r w:rsidRPr="0071284B">
        <w:tab/>
      </w:r>
      <w:r>
        <w:t>K</w:t>
      </w:r>
      <w:r w:rsidRPr="0071284B">
        <w:t xml:space="preserve">amusal iç mali denetim, dış denetim, AB mali çıkarlarının korunması ve Avro sahtekârlığının önlenmesi alt-başlıkları altında bazı gelişmeler </w:t>
      </w:r>
      <w:r>
        <w:t>bulunmaktadır. A</w:t>
      </w:r>
      <w:r w:rsidRPr="0071284B">
        <w:t>ncak reformlara ve uygulamanın iyileştirilmesine devam edilmesi gerek</w:t>
      </w:r>
      <w:r>
        <w:t>mektedir.</w:t>
      </w:r>
      <w:r w:rsidRPr="0071284B">
        <w:t xml:space="preserve"> Özellikle kamusal iç mali denetim konusunda Maliye Bakanlığı tarafından Avrupa Komisyonu</w:t>
      </w:r>
      <w:r>
        <w:t>’</w:t>
      </w:r>
      <w:r w:rsidRPr="0071284B">
        <w:t xml:space="preserve">na iletilen taslak politika belgesinde yer alan hususların kapsamının genişletilmesi ve hayata geçirilmesi </w:t>
      </w:r>
      <w:r>
        <w:t>gerekmektedir</w:t>
      </w:r>
      <w:r w:rsidRPr="0071284B">
        <w:t>. Kamu kurumlarının kuruluş yasalarında iç denetim fonksiyonu açıkça belirtilmemiş</w:t>
      </w:r>
      <w:r>
        <w:t>tir.</w:t>
      </w:r>
      <w:r w:rsidRPr="0071284B">
        <w:t xml:space="preserve"> </w:t>
      </w:r>
    </w:p>
    <w:p w:rsidR="00D07B09" w:rsidRDefault="00D07B09" w:rsidP="00EE0A4A"/>
    <w:p w:rsidR="00D07B09" w:rsidRDefault="00D07B09" w:rsidP="00EE0A4A"/>
    <w:p w:rsidR="00D07B09" w:rsidRDefault="00D07B09" w:rsidP="00EE0A4A"/>
    <w:p w:rsidR="00D07B09" w:rsidRPr="0071284B" w:rsidRDefault="00D07B09" w:rsidP="00EE0A4A"/>
    <w:p w:rsidR="00D07B09" w:rsidRPr="0071284B" w:rsidRDefault="00D07B09" w:rsidP="00EE0A4A">
      <w:pPr>
        <w:rPr>
          <w:b/>
          <w:bCs/>
        </w:rPr>
      </w:pPr>
      <w:r w:rsidRPr="0071284B">
        <w:rPr>
          <w:b/>
          <w:bCs/>
        </w:rPr>
        <w:t xml:space="preserve">Fasıl 33: </w:t>
      </w:r>
      <w:hyperlink r:id="rId39" w:history="1">
        <w:r w:rsidRPr="0071284B">
          <w:rPr>
            <w:b/>
            <w:bCs/>
          </w:rPr>
          <w:t>Mali ve Bütçesel Hükümler</w:t>
        </w:r>
      </w:hyperlink>
      <w:r w:rsidRPr="0071284B">
        <w:rPr>
          <w:b/>
          <w:bCs/>
        </w:rPr>
        <w:t xml:space="preserve"> </w:t>
      </w:r>
      <w:r w:rsidRPr="0071284B">
        <w:rPr>
          <w:b/>
          <w:bCs/>
        </w:rPr>
        <w:br/>
      </w:r>
    </w:p>
    <w:p w:rsidR="00D07B09" w:rsidRPr="0071284B" w:rsidRDefault="00D07B09" w:rsidP="00EE0A4A">
      <w:pPr>
        <w:jc w:val="both"/>
      </w:pPr>
      <w:r w:rsidRPr="0071284B">
        <w:tab/>
        <w:t xml:space="preserve">Bu Fasılla ilgili gelişme </w:t>
      </w:r>
      <w:r>
        <w:t>kaydedilmemiştir. Ö</w:t>
      </w:r>
      <w:r w:rsidRPr="0071284B">
        <w:t xml:space="preserve">z kaynak sisteminin uygulanmasına yönelik hazırlık çalışmalarında ve yönetim altyapısında gelişme </w:t>
      </w:r>
      <w:r>
        <w:t>kaydedilmemiştir.</w:t>
      </w:r>
      <w:r w:rsidRPr="0071284B">
        <w:t xml:space="preserve"> KDV ve gümrük vergileri sahtekarlıkları ile mücadelede etkin önlemlerin alınması üyeliğin bir gereği</w:t>
      </w:r>
      <w:r>
        <w:t>dir.</w:t>
      </w:r>
      <w:r w:rsidRPr="0071284B">
        <w:t xml:space="preserve"> </w:t>
      </w:r>
    </w:p>
    <w:p w:rsidR="00D07B09" w:rsidRPr="0071284B" w:rsidRDefault="00D07B09" w:rsidP="00EE0A4A">
      <w:pPr>
        <w:rPr>
          <w:b/>
          <w:bCs/>
        </w:rPr>
      </w:pPr>
    </w:p>
    <w:p w:rsidR="00D07B09" w:rsidRPr="0071284B" w:rsidRDefault="00D07B09" w:rsidP="00205F83">
      <w:r w:rsidRPr="0071284B">
        <w:tab/>
      </w:r>
      <w:r>
        <w:t>Arz olunur.</w:t>
      </w:r>
    </w:p>
    <w:sectPr w:rsidR="00D07B09" w:rsidRPr="0071284B" w:rsidSect="00C57075">
      <w:footerReference w:type="default" r:id="rId40"/>
      <w:headerReference w:type="first" r:id="rId41"/>
      <w:footerReference w:type="first" r:id="rId42"/>
      <w:pgSz w:w="11906" w:h="16838" w:code="9"/>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09" w:rsidRDefault="00D07B09">
      <w:r>
        <w:separator/>
      </w:r>
    </w:p>
  </w:endnote>
  <w:endnote w:type="continuationSeparator" w:id="0">
    <w:p w:rsidR="00D07B09" w:rsidRDefault="00D07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09" w:rsidRDefault="00D07B09" w:rsidP="00066E4A">
    <w:pPr>
      <w:pStyle w:val="Footer"/>
      <w:ind w:right="360"/>
      <w:jc w:val="center"/>
    </w:pPr>
    <w:fldSimple w:instr=" PAGE ">
      <w:r>
        <w:rPr>
          <w:noProof/>
        </w:rPr>
        <w:t>27</w:t>
      </w:r>
    </w:fldSimple>
    <w:r>
      <w:t xml:space="preserve"> / </w:t>
    </w:r>
    <w:fldSimple w:instr=" NUMPAGES ">
      <w:r>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09" w:rsidRDefault="00D07B09" w:rsidP="00B20BC0">
    <w:pPr>
      <w:pStyle w:val="Footer"/>
      <w:jc w:val="center"/>
    </w:pPr>
    <w:fldSimple w:instr=" PAGE ">
      <w:r>
        <w:rPr>
          <w:noProof/>
        </w:rPr>
        <w:t>1</w:t>
      </w:r>
    </w:fldSimple>
    <w:r>
      <w:t xml:space="preserve"> / </w:t>
    </w:r>
    <w:fldSimple w:instr=" NUMPAGES ">
      <w:r>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09" w:rsidRDefault="00D07B09">
      <w:r>
        <w:separator/>
      </w:r>
    </w:p>
  </w:footnote>
  <w:footnote w:type="continuationSeparator" w:id="0">
    <w:p w:rsidR="00D07B09" w:rsidRDefault="00D07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09" w:rsidRDefault="00D07B09" w:rsidP="00B20BC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23E"/>
    <w:multiLevelType w:val="hybridMultilevel"/>
    <w:tmpl w:val="FF82CEC4"/>
    <w:lvl w:ilvl="0" w:tplc="3C888488">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C2D11CF"/>
    <w:multiLevelType w:val="hybridMultilevel"/>
    <w:tmpl w:val="AE823DDE"/>
    <w:lvl w:ilvl="0" w:tplc="71B4677E">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C4A6E28"/>
    <w:multiLevelType w:val="hybridMultilevel"/>
    <w:tmpl w:val="C390E4BA"/>
    <w:lvl w:ilvl="0" w:tplc="041F000F">
      <w:start w:val="1"/>
      <w:numFmt w:val="decimal"/>
      <w:lvlText w:val="%1."/>
      <w:lvlJc w:val="left"/>
      <w:pPr>
        <w:tabs>
          <w:tab w:val="num" w:pos="2880"/>
        </w:tabs>
        <w:ind w:left="2880" w:hanging="360"/>
      </w:pPr>
      <w:rPr>
        <w:rFonts w:cs="Times New Roman" w:hint="default"/>
      </w:rPr>
    </w:lvl>
    <w:lvl w:ilvl="1" w:tplc="041F0019">
      <w:start w:val="1"/>
      <w:numFmt w:val="lowerLetter"/>
      <w:lvlText w:val="%2."/>
      <w:lvlJc w:val="left"/>
      <w:pPr>
        <w:tabs>
          <w:tab w:val="num" w:pos="3600"/>
        </w:tabs>
        <w:ind w:left="3600" w:hanging="360"/>
      </w:pPr>
      <w:rPr>
        <w:rFonts w:cs="Times New Roman"/>
      </w:rPr>
    </w:lvl>
    <w:lvl w:ilvl="2" w:tplc="041F001B">
      <w:start w:val="1"/>
      <w:numFmt w:val="lowerRoman"/>
      <w:lvlText w:val="%3."/>
      <w:lvlJc w:val="right"/>
      <w:pPr>
        <w:tabs>
          <w:tab w:val="num" w:pos="4320"/>
        </w:tabs>
        <w:ind w:left="4320" w:hanging="180"/>
      </w:pPr>
      <w:rPr>
        <w:rFonts w:cs="Times New Roman"/>
      </w:rPr>
    </w:lvl>
    <w:lvl w:ilvl="3" w:tplc="041F000F">
      <w:start w:val="1"/>
      <w:numFmt w:val="decimal"/>
      <w:lvlText w:val="%4."/>
      <w:lvlJc w:val="left"/>
      <w:pPr>
        <w:tabs>
          <w:tab w:val="num" w:pos="5040"/>
        </w:tabs>
        <w:ind w:left="5040" w:hanging="360"/>
      </w:pPr>
      <w:rPr>
        <w:rFonts w:cs="Times New Roman"/>
      </w:rPr>
    </w:lvl>
    <w:lvl w:ilvl="4" w:tplc="041F0019">
      <w:start w:val="1"/>
      <w:numFmt w:val="lowerLetter"/>
      <w:lvlText w:val="%5."/>
      <w:lvlJc w:val="left"/>
      <w:pPr>
        <w:tabs>
          <w:tab w:val="num" w:pos="5760"/>
        </w:tabs>
        <w:ind w:left="5760" w:hanging="360"/>
      </w:pPr>
      <w:rPr>
        <w:rFonts w:cs="Times New Roman"/>
      </w:rPr>
    </w:lvl>
    <w:lvl w:ilvl="5" w:tplc="041F001B">
      <w:start w:val="1"/>
      <w:numFmt w:val="lowerRoman"/>
      <w:lvlText w:val="%6."/>
      <w:lvlJc w:val="right"/>
      <w:pPr>
        <w:tabs>
          <w:tab w:val="num" w:pos="6480"/>
        </w:tabs>
        <w:ind w:left="6480" w:hanging="180"/>
      </w:pPr>
      <w:rPr>
        <w:rFonts w:cs="Times New Roman"/>
      </w:rPr>
    </w:lvl>
    <w:lvl w:ilvl="6" w:tplc="041F000F">
      <w:start w:val="1"/>
      <w:numFmt w:val="decimal"/>
      <w:lvlText w:val="%7."/>
      <w:lvlJc w:val="left"/>
      <w:pPr>
        <w:tabs>
          <w:tab w:val="num" w:pos="7200"/>
        </w:tabs>
        <w:ind w:left="7200" w:hanging="360"/>
      </w:pPr>
      <w:rPr>
        <w:rFonts w:cs="Times New Roman"/>
      </w:rPr>
    </w:lvl>
    <w:lvl w:ilvl="7" w:tplc="041F0019">
      <w:start w:val="1"/>
      <w:numFmt w:val="lowerLetter"/>
      <w:lvlText w:val="%8."/>
      <w:lvlJc w:val="left"/>
      <w:pPr>
        <w:tabs>
          <w:tab w:val="num" w:pos="7920"/>
        </w:tabs>
        <w:ind w:left="7920" w:hanging="360"/>
      </w:pPr>
      <w:rPr>
        <w:rFonts w:cs="Times New Roman"/>
      </w:rPr>
    </w:lvl>
    <w:lvl w:ilvl="8" w:tplc="041F001B">
      <w:start w:val="1"/>
      <w:numFmt w:val="lowerRoman"/>
      <w:lvlText w:val="%9."/>
      <w:lvlJc w:val="right"/>
      <w:pPr>
        <w:tabs>
          <w:tab w:val="num" w:pos="8640"/>
        </w:tabs>
        <w:ind w:left="8640" w:hanging="180"/>
      </w:pPr>
      <w:rPr>
        <w:rFonts w:cs="Times New Roman"/>
      </w:rPr>
    </w:lvl>
  </w:abstractNum>
  <w:abstractNum w:abstractNumId="3">
    <w:nsid w:val="24EA50CF"/>
    <w:multiLevelType w:val="hybridMultilevel"/>
    <w:tmpl w:val="0316CA20"/>
    <w:lvl w:ilvl="0" w:tplc="6B3A1CF4">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E232BBD"/>
    <w:multiLevelType w:val="hybridMultilevel"/>
    <w:tmpl w:val="DAE2897E"/>
    <w:lvl w:ilvl="0" w:tplc="C2782EBA">
      <w:start w:val="6"/>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3A9F2F20"/>
    <w:multiLevelType w:val="hybridMultilevel"/>
    <w:tmpl w:val="AB206BB0"/>
    <w:lvl w:ilvl="0" w:tplc="D8D60E6C">
      <w:start w:val="8"/>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3C217993"/>
    <w:multiLevelType w:val="hybridMultilevel"/>
    <w:tmpl w:val="65FCD72E"/>
    <w:lvl w:ilvl="0" w:tplc="A96E5766">
      <w:start w:val="1"/>
      <w:numFmt w:val="upperRoman"/>
      <w:lvlText w:val="%1."/>
      <w:lvlJc w:val="left"/>
      <w:pPr>
        <w:ind w:left="1440" w:hanging="720"/>
      </w:pPr>
      <w:rPr>
        <w:rFonts w:cs="Times New Roman" w:hint="default"/>
        <w:b/>
        <w:bCs/>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7">
    <w:nsid w:val="40BA6E39"/>
    <w:multiLevelType w:val="hybridMultilevel"/>
    <w:tmpl w:val="12441D44"/>
    <w:lvl w:ilvl="0" w:tplc="1D12A3B0">
      <w:start w:val="1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419D6250"/>
    <w:multiLevelType w:val="hybridMultilevel"/>
    <w:tmpl w:val="DBCC9C0A"/>
    <w:lvl w:ilvl="0" w:tplc="DEDE7EC2">
      <w:start w:val="27"/>
      <w:numFmt w:val="bullet"/>
      <w:lvlText w:val=""/>
      <w:lvlJc w:val="left"/>
      <w:pPr>
        <w:tabs>
          <w:tab w:val="num" w:pos="1440"/>
        </w:tabs>
        <w:ind w:left="144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4F246606"/>
    <w:multiLevelType w:val="hybridMultilevel"/>
    <w:tmpl w:val="312833C6"/>
    <w:lvl w:ilvl="0" w:tplc="49EE97C6">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500A5B77"/>
    <w:multiLevelType w:val="hybridMultilevel"/>
    <w:tmpl w:val="65FCD72E"/>
    <w:lvl w:ilvl="0" w:tplc="A96E5766">
      <w:start w:val="1"/>
      <w:numFmt w:val="upperRoman"/>
      <w:lvlText w:val="%1."/>
      <w:lvlJc w:val="left"/>
      <w:pPr>
        <w:ind w:left="1440" w:hanging="720"/>
      </w:pPr>
      <w:rPr>
        <w:rFonts w:cs="Times New Roman" w:hint="default"/>
        <w:b/>
        <w:bCs/>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1">
    <w:nsid w:val="553637D6"/>
    <w:multiLevelType w:val="hybridMultilevel"/>
    <w:tmpl w:val="93C8F7FE"/>
    <w:lvl w:ilvl="0" w:tplc="676617E8">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698A238F"/>
    <w:multiLevelType w:val="hybridMultilevel"/>
    <w:tmpl w:val="B5F86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E0F6505"/>
    <w:multiLevelType w:val="hybridMultilevel"/>
    <w:tmpl w:val="54D49D92"/>
    <w:lvl w:ilvl="0" w:tplc="F6AA6850">
      <w:start w:val="6"/>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11"/>
  </w:num>
  <w:num w:numId="8">
    <w:abstractNumId w:val="9"/>
  </w:num>
  <w:num w:numId="9">
    <w:abstractNumId w:val="13"/>
  </w:num>
  <w:num w:numId="10">
    <w:abstractNumId w:val="3"/>
  </w:num>
  <w:num w:numId="11">
    <w:abstractNumId w:val="6"/>
  </w:num>
  <w:num w:numId="12">
    <w:abstractNumId w:val="8"/>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455"/>
    <w:rsid w:val="00000504"/>
    <w:rsid w:val="00002A69"/>
    <w:rsid w:val="00002FB9"/>
    <w:rsid w:val="00003C6F"/>
    <w:rsid w:val="00003FE9"/>
    <w:rsid w:val="00007269"/>
    <w:rsid w:val="00007E79"/>
    <w:rsid w:val="0001066B"/>
    <w:rsid w:val="0001240D"/>
    <w:rsid w:val="000125EF"/>
    <w:rsid w:val="00013328"/>
    <w:rsid w:val="00014290"/>
    <w:rsid w:val="000150F2"/>
    <w:rsid w:val="000160C5"/>
    <w:rsid w:val="00016BDE"/>
    <w:rsid w:val="00017481"/>
    <w:rsid w:val="000176EB"/>
    <w:rsid w:val="00017C97"/>
    <w:rsid w:val="00017D8F"/>
    <w:rsid w:val="00021029"/>
    <w:rsid w:val="00021D58"/>
    <w:rsid w:val="00022ED7"/>
    <w:rsid w:val="00022F71"/>
    <w:rsid w:val="00024236"/>
    <w:rsid w:val="00025DFC"/>
    <w:rsid w:val="00025FE6"/>
    <w:rsid w:val="0002634E"/>
    <w:rsid w:val="00026AE7"/>
    <w:rsid w:val="00026BAB"/>
    <w:rsid w:val="00027420"/>
    <w:rsid w:val="000279C9"/>
    <w:rsid w:val="000305D7"/>
    <w:rsid w:val="00031BAE"/>
    <w:rsid w:val="00031BB8"/>
    <w:rsid w:val="0003268D"/>
    <w:rsid w:val="00034BB3"/>
    <w:rsid w:val="00035EF3"/>
    <w:rsid w:val="00036388"/>
    <w:rsid w:val="000429B1"/>
    <w:rsid w:val="000460F8"/>
    <w:rsid w:val="000461C4"/>
    <w:rsid w:val="00046475"/>
    <w:rsid w:val="00046E79"/>
    <w:rsid w:val="00052E69"/>
    <w:rsid w:val="000552D6"/>
    <w:rsid w:val="00060480"/>
    <w:rsid w:val="000605B9"/>
    <w:rsid w:val="00060954"/>
    <w:rsid w:val="000629C4"/>
    <w:rsid w:val="00063110"/>
    <w:rsid w:val="00063214"/>
    <w:rsid w:val="0006417A"/>
    <w:rsid w:val="00064374"/>
    <w:rsid w:val="00064762"/>
    <w:rsid w:val="00064C74"/>
    <w:rsid w:val="00066E4A"/>
    <w:rsid w:val="0006741E"/>
    <w:rsid w:val="000702B1"/>
    <w:rsid w:val="000722FF"/>
    <w:rsid w:val="00073AB0"/>
    <w:rsid w:val="000742AE"/>
    <w:rsid w:val="00074DEA"/>
    <w:rsid w:val="000762B3"/>
    <w:rsid w:val="00080354"/>
    <w:rsid w:val="0008099E"/>
    <w:rsid w:val="00081775"/>
    <w:rsid w:val="00082054"/>
    <w:rsid w:val="0008375D"/>
    <w:rsid w:val="0008441D"/>
    <w:rsid w:val="00084E66"/>
    <w:rsid w:val="00085447"/>
    <w:rsid w:val="0008692D"/>
    <w:rsid w:val="0008794B"/>
    <w:rsid w:val="00087D74"/>
    <w:rsid w:val="00090F91"/>
    <w:rsid w:val="000914C1"/>
    <w:rsid w:val="00095DE1"/>
    <w:rsid w:val="000963B8"/>
    <w:rsid w:val="00096688"/>
    <w:rsid w:val="00096E40"/>
    <w:rsid w:val="00097034"/>
    <w:rsid w:val="00097AEA"/>
    <w:rsid w:val="000A01E7"/>
    <w:rsid w:val="000A0637"/>
    <w:rsid w:val="000A0CCB"/>
    <w:rsid w:val="000A128B"/>
    <w:rsid w:val="000A3FE8"/>
    <w:rsid w:val="000A4A6C"/>
    <w:rsid w:val="000A5D45"/>
    <w:rsid w:val="000A5FB2"/>
    <w:rsid w:val="000A69BD"/>
    <w:rsid w:val="000A6C84"/>
    <w:rsid w:val="000A7069"/>
    <w:rsid w:val="000A733F"/>
    <w:rsid w:val="000A73B9"/>
    <w:rsid w:val="000B0B79"/>
    <w:rsid w:val="000B136F"/>
    <w:rsid w:val="000B35A8"/>
    <w:rsid w:val="000B36DA"/>
    <w:rsid w:val="000B3F47"/>
    <w:rsid w:val="000B4AF5"/>
    <w:rsid w:val="000B5B82"/>
    <w:rsid w:val="000B5D4F"/>
    <w:rsid w:val="000B6394"/>
    <w:rsid w:val="000C0D7C"/>
    <w:rsid w:val="000C3E31"/>
    <w:rsid w:val="000C47FA"/>
    <w:rsid w:val="000C5887"/>
    <w:rsid w:val="000D0647"/>
    <w:rsid w:val="000D0FBF"/>
    <w:rsid w:val="000D1257"/>
    <w:rsid w:val="000D28CF"/>
    <w:rsid w:val="000D2CBD"/>
    <w:rsid w:val="000D30F0"/>
    <w:rsid w:val="000D4676"/>
    <w:rsid w:val="000D5307"/>
    <w:rsid w:val="000D54AA"/>
    <w:rsid w:val="000D5C6F"/>
    <w:rsid w:val="000D7A36"/>
    <w:rsid w:val="000E008F"/>
    <w:rsid w:val="000E10FC"/>
    <w:rsid w:val="000E25BF"/>
    <w:rsid w:val="000E3992"/>
    <w:rsid w:val="000E778E"/>
    <w:rsid w:val="000E7E0A"/>
    <w:rsid w:val="000F119C"/>
    <w:rsid w:val="000F16BD"/>
    <w:rsid w:val="000F1B99"/>
    <w:rsid w:val="000F23C9"/>
    <w:rsid w:val="000F2DB7"/>
    <w:rsid w:val="000F41FA"/>
    <w:rsid w:val="000F4F3F"/>
    <w:rsid w:val="000F5CDE"/>
    <w:rsid w:val="00101270"/>
    <w:rsid w:val="00101A05"/>
    <w:rsid w:val="00101E0A"/>
    <w:rsid w:val="0010265B"/>
    <w:rsid w:val="00102EE2"/>
    <w:rsid w:val="00103389"/>
    <w:rsid w:val="0010365D"/>
    <w:rsid w:val="001042C0"/>
    <w:rsid w:val="00104F70"/>
    <w:rsid w:val="00105378"/>
    <w:rsid w:val="001056A2"/>
    <w:rsid w:val="00111188"/>
    <w:rsid w:val="00111EA4"/>
    <w:rsid w:val="00113F52"/>
    <w:rsid w:val="00116B19"/>
    <w:rsid w:val="00116D51"/>
    <w:rsid w:val="00116E4B"/>
    <w:rsid w:val="001173B6"/>
    <w:rsid w:val="001177A7"/>
    <w:rsid w:val="00117905"/>
    <w:rsid w:val="00117DEE"/>
    <w:rsid w:val="00122A10"/>
    <w:rsid w:val="00123C9E"/>
    <w:rsid w:val="001242E7"/>
    <w:rsid w:val="00124FA1"/>
    <w:rsid w:val="00126BE8"/>
    <w:rsid w:val="00126C7C"/>
    <w:rsid w:val="00130499"/>
    <w:rsid w:val="001311EB"/>
    <w:rsid w:val="0013170F"/>
    <w:rsid w:val="00131B78"/>
    <w:rsid w:val="00132075"/>
    <w:rsid w:val="00132CE0"/>
    <w:rsid w:val="00132D53"/>
    <w:rsid w:val="00132DF2"/>
    <w:rsid w:val="001339C9"/>
    <w:rsid w:val="00135730"/>
    <w:rsid w:val="001359DC"/>
    <w:rsid w:val="001374C4"/>
    <w:rsid w:val="001409B8"/>
    <w:rsid w:val="0014224D"/>
    <w:rsid w:val="00142AFD"/>
    <w:rsid w:val="001441D8"/>
    <w:rsid w:val="001447F1"/>
    <w:rsid w:val="0014480E"/>
    <w:rsid w:val="00144F56"/>
    <w:rsid w:val="00145732"/>
    <w:rsid w:val="001501FF"/>
    <w:rsid w:val="00151CDF"/>
    <w:rsid w:val="00152EC7"/>
    <w:rsid w:val="001559DC"/>
    <w:rsid w:val="0015736E"/>
    <w:rsid w:val="001600D5"/>
    <w:rsid w:val="001606E5"/>
    <w:rsid w:val="00161099"/>
    <w:rsid w:val="00161823"/>
    <w:rsid w:val="0016246D"/>
    <w:rsid w:val="00164161"/>
    <w:rsid w:val="0016573E"/>
    <w:rsid w:val="0016595D"/>
    <w:rsid w:val="00165EC3"/>
    <w:rsid w:val="001660A7"/>
    <w:rsid w:val="0017422F"/>
    <w:rsid w:val="00174236"/>
    <w:rsid w:val="00174DF5"/>
    <w:rsid w:val="00175582"/>
    <w:rsid w:val="001768F2"/>
    <w:rsid w:val="001802AB"/>
    <w:rsid w:val="00180CB9"/>
    <w:rsid w:val="00180D45"/>
    <w:rsid w:val="00181268"/>
    <w:rsid w:val="0018183E"/>
    <w:rsid w:val="00181F08"/>
    <w:rsid w:val="0018272C"/>
    <w:rsid w:val="00186840"/>
    <w:rsid w:val="001909CA"/>
    <w:rsid w:val="00190EC0"/>
    <w:rsid w:val="001916FA"/>
    <w:rsid w:val="00191765"/>
    <w:rsid w:val="00193B69"/>
    <w:rsid w:val="00194115"/>
    <w:rsid w:val="00196040"/>
    <w:rsid w:val="00196CAD"/>
    <w:rsid w:val="0019794B"/>
    <w:rsid w:val="00197C1A"/>
    <w:rsid w:val="001A0BAC"/>
    <w:rsid w:val="001A0FDB"/>
    <w:rsid w:val="001A1555"/>
    <w:rsid w:val="001A1A4D"/>
    <w:rsid w:val="001A2339"/>
    <w:rsid w:val="001A2EA6"/>
    <w:rsid w:val="001A4FB1"/>
    <w:rsid w:val="001A5771"/>
    <w:rsid w:val="001A58CE"/>
    <w:rsid w:val="001A6BB1"/>
    <w:rsid w:val="001A7B74"/>
    <w:rsid w:val="001B428A"/>
    <w:rsid w:val="001B5587"/>
    <w:rsid w:val="001B6F25"/>
    <w:rsid w:val="001C1006"/>
    <w:rsid w:val="001C1E67"/>
    <w:rsid w:val="001C2F20"/>
    <w:rsid w:val="001C3CF6"/>
    <w:rsid w:val="001C46E0"/>
    <w:rsid w:val="001C47CC"/>
    <w:rsid w:val="001C70F5"/>
    <w:rsid w:val="001C7B04"/>
    <w:rsid w:val="001D08E1"/>
    <w:rsid w:val="001D0F7E"/>
    <w:rsid w:val="001D2F34"/>
    <w:rsid w:val="001D5D62"/>
    <w:rsid w:val="001E0B73"/>
    <w:rsid w:val="001E1C70"/>
    <w:rsid w:val="001E424E"/>
    <w:rsid w:val="001E4946"/>
    <w:rsid w:val="001E504B"/>
    <w:rsid w:val="001E5145"/>
    <w:rsid w:val="001E55C0"/>
    <w:rsid w:val="001E5D6C"/>
    <w:rsid w:val="001E7A27"/>
    <w:rsid w:val="001F34C9"/>
    <w:rsid w:val="001F3FD8"/>
    <w:rsid w:val="001F4D83"/>
    <w:rsid w:val="001F583E"/>
    <w:rsid w:val="001F59D4"/>
    <w:rsid w:val="00201AD2"/>
    <w:rsid w:val="002022D3"/>
    <w:rsid w:val="00203067"/>
    <w:rsid w:val="0020332C"/>
    <w:rsid w:val="00204359"/>
    <w:rsid w:val="00205234"/>
    <w:rsid w:val="00205F83"/>
    <w:rsid w:val="00206270"/>
    <w:rsid w:val="00207A2D"/>
    <w:rsid w:val="00210194"/>
    <w:rsid w:val="002101B6"/>
    <w:rsid w:val="002101CC"/>
    <w:rsid w:val="0021064E"/>
    <w:rsid w:val="00210C70"/>
    <w:rsid w:val="00210F0A"/>
    <w:rsid w:val="00211663"/>
    <w:rsid w:val="00211B30"/>
    <w:rsid w:val="00211CD5"/>
    <w:rsid w:val="00212053"/>
    <w:rsid w:val="00212BBF"/>
    <w:rsid w:val="00213234"/>
    <w:rsid w:val="00214095"/>
    <w:rsid w:val="00215358"/>
    <w:rsid w:val="002162E4"/>
    <w:rsid w:val="002173B2"/>
    <w:rsid w:val="00217EEA"/>
    <w:rsid w:val="00220436"/>
    <w:rsid w:val="002210F9"/>
    <w:rsid w:val="00222287"/>
    <w:rsid w:val="002228CD"/>
    <w:rsid w:val="00222D9A"/>
    <w:rsid w:val="002230B5"/>
    <w:rsid w:val="00223606"/>
    <w:rsid w:val="00223A16"/>
    <w:rsid w:val="0022444C"/>
    <w:rsid w:val="00224A76"/>
    <w:rsid w:val="0022501F"/>
    <w:rsid w:val="00226BA7"/>
    <w:rsid w:val="00230935"/>
    <w:rsid w:val="00232833"/>
    <w:rsid w:val="00233A9E"/>
    <w:rsid w:val="00233B27"/>
    <w:rsid w:val="00234AD2"/>
    <w:rsid w:val="002363D3"/>
    <w:rsid w:val="00237B14"/>
    <w:rsid w:val="002416F5"/>
    <w:rsid w:val="00243C4B"/>
    <w:rsid w:val="0024478D"/>
    <w:rsid w:val="00244EF6"/>
    <w:rsid w:val="00250C4B"/>
    <w:rsid w:val="00251D9A"/>
    <w:rsid w:val="002526D8"/>
    <w:rsid w:val="0025284E"/>
    <w:rsid w:val="00256BE3"/>
    <w:rsid w:val="002571AE"/>
    <w:rsid w:val="00257DF0"/>
    <w:rsid w:val="00260355"/>
    <w:rsid w:val="002613E2"/>
    <w:rsid w:val="00261B6A"/>
    <w:rsid w:val="0026419D"/>
    <w:rsid w:val="0026470D"/>
    <w:rsid w:val="00264BC6"/>
    <w:rsid w:val="0026545E"/>
    <w:rsid w:val="0026581F"/>
    <w:rsid w:val="002664DC"/>
    <w:rsid w:val="0026784E"/>
    <w:rsid w:val="002679FE"/>
    <w:rsid w:val="00267E2E"/>
    <w:rsid w:val="00270BD4"/>
    <w:rsid w:val="00271283"/>
    <w:rsid w:val="0027130C"/>
    <w:rsid w:val="00271EC1"/>
    <w:rsid w:val="00272A93"/>
    <w:rsid w:val="002735C8"/>
    <w:rsid w:val="00273D64"/>
    <w:rsid w:val="00276E7A"/>
    <w:rsid w:val="0027755C"/>
    <w:rsid w:val="002813A6"/>
    <w:rsid w:val="002829DB"/>
    <w:rsid w:val="00282C7B"/>
    <w:rsid w:val="00283BA1"/>
    <w:rsid w:val="0028411B"/>
    <w:rsid w:val="0028490E"/>
    <w:rsid w:val="00284FC9"/>
    <w:rsid w:val="00285515"/>
    <w:rsid w:val="00287BFF"/>
    <w:rsid w:val="00290FBA"/>
    <w:rsid w:val="00291A27"/>
    <w:rsid w:val="00293239"/>
    <w:rsid w:val="00294539"/>
    <w:rsid w:val="0029542F"/>
    <w:rsid w:val="002A0587"/>
    <w:rsid w:val="002A0AA5"/>
    <w:rsid w:val="002A2042"/>
    <w:rsid w:val="002A33F3"/>
    <w:rsid w:val="002A3A9C"/>
    <w:rsid w:val="002A4235"/>
    <w:rsid w:val="002A5831"/>
    <w:rsid w:val="002A712A"/>
    <w:rsid w:val="002B014D"/>
    <w:rsid w:val="002B0F73"/>
    <w:rsid w:val="002B3D74"/>
    <w:rsid w:val="002B4DFC"/>
    <w:rsid w:val="002B4FDE"/>
    <w:rsid w:val="002B60B4"/>
    <w:rsid w:val="002B688B"/>
    <w:rsid w:val="002B7461"/>
    <w:rsid w:val="002B75A4"/>
    <w:rsid w:val="002C138A"/>
    <w:rsid w:val="002C1E91"/>
    <w:rsid w:val="002C21B3"/>
    <w:rsid w:val="002C231F"/>
    <w:rsid w:val="002C291E"/>
    <w:rsid w:val="002C391F"/>
    <w:rsid w:val="002C394D"/>
    <w:rsid w:val="002C3B00"/>
    <w:rsid w:val="002C462C"/>
    <w:rsid w:val="002C469C"/>
    <w:rsid w:val="002C6E5B"/>
    <w:rsid w:val="002D122E"/>
    <w:rsid w:val="002D18AC"/>
    <w:rsid w:val="002D324D"/>
    <w:rsid w:val="002D3496"/>
    <w:rsid w:val="002D4528"/>
    <w:rsid w:val="002D4805"/>
    <w:rsid w:val="002D5137"/>
    <w:rsid w:val="002D566B"/>
    <w:rsid w:val="002D78F0"/>
    <w:rsid w:val="002D7A66"/>
    <w:rsid w:val="002D7AC8"/>
    <w:rsid w:val="002E00A1"/>
    <w:rsid w:val="002E16DC"/>
    <w:rsid w:val="002E27BA"/>
    <w:rsid w:val="002E2F38"/>
    <w:rsid w:val="002E3AA3"/>
    <w:rsid w:val="002E3B4C"/>
    <w:rsid w:val="002E42F6"/>
    <w:rsid w:val="002E59E6"/>
    <w:rsid w:val="002E61B7"/>
    <w:rsid w:val="002E733F"/>
    <w:rsid w:val="002E78BC"/>
    <w:rsid w:val="002F20B0"/>
    <w:rsid w:val="002F2BD1"/>
    <w:rsid w:val="002F2C2D"/>
    <w:rsid w:val="002F2EBD"/>
    <w:rsid w:val="002F2FBB"/>
    <w:rsid w:val="002F3148"/>
    <w:rsid w:val="002F45EF"/>
    <w:rsid w:val="002F4D56"/>
    <w:rsid w:val="002F51E1"/>
    <w:rsid w:val="002F5236"/>
    <w:rsid w:val="002F6383"/>
    <w:rsid w:val="002F6B02"/>
    <w:rsid w:val="002F76A4"/>
    <w:rsid w:val="00300B0B"/>
    <w:rsid w:val="00300B9F"/>
    <w:rsid w:val="003022AA"/>
    <w:rsid w:val="0030459B"/>
    <w:rsid w:val="00306100"/>
    <w:rsid w:val="00307630"/>
    <w:rsid w:val="0030795F"/>
    <w:rsid w:val="00307C07"/>
    <w:rsid w:val="00310B0B"/>
    <w:rsid w:val="00310F4D"/>
    <w:rsid w:val="00310F65"/>
    <w:rsid w:val="003115E5"/>
    <w:rsid w:val="00311CF8"/>
    <w:rsid w:val="00312322"/>
    <w:rsid w:val="0031515D"/>
    <w:rsid w:val="00315310"/>
    <w:rsid w:val="00315A07"/>
    <w:rsid w:val="00315C4A"/>
    <w:rsid w:val="00316936"/>
    <w:rsid w:val="00317B38"/>
    <w:rsid w:val="00320584"/>
    <w:rsid w:val="00321184"/>
    <w:rsid w:val="00321FD8"/>
    <w:rsid w:val="00323D0C"/>
    <w:rsid w:val="00323EB7"/>
    <w:rsid w:val="0032617A"/>
    <w:rsid w:val="00330554"/>
    <w:rsid w:val="0033243D"/>
    <w:rsid w:val="003344DC"/>
    <w:rsid w:val="003351C2"/>
    <w:rsid w:val="00336408"/>
    <w:rsid w:val="00336A04"/>
    <w:rsid w:val="0033783D"/>
    <w:rsid w:val="00337B9F"/>
    <w:rsid w:val="00337D0D"/>
    <w:rsid w:val="00341ADF"/>
    <w:rsid w:val="0034335A"/>
    <w:rsid w:val="00344CA0"/>
    <w:rsid w:val="00346333"/>
    <w:rsid w:val="00346398"/>
    <w:rsid w:val="00352BD7"/>
    <w:rsid w:val="00355004"/>
    <w:rsid w:val="003576B7"/>
    <w:rsid w:val="00357F59"/>
    <w:rsid w:val="003615F4"/>
    <w:rsid w:val="00361DF3"/>
    <w:rsid w:val="0036263B"/>
    <w:rsid w:val="003631E5"/>
    <w:rsid w:val="0036354B"/>
    <w:rsid w:val="00364BE2"/>
    <w:rsid w:val="00365B68"/>
    <w:rsid w:val="00365BB9"/>
    <w:rsid w:val="003662FB"/>
    <w:rsid w:val="00371E09"/>
    <w:rsid w:val="003723B4"/>
    <w:rsid w:val="00372D1A"/>
    <w:rsid w:val="00373096"/>
    <w:rsid w:val="0037321F"/>
    <w:rsid w:val="003737FB"/>
    <w:rsid w:val="0037471B"/>
    <w:rsid w:val="003749A0"/>
    <w:rsid w:val="00374D70"/>
    <w:rsid w:val="00377246"/>
    <w:rsid w:val="0037778A"/>
    <w:rsid w:val="00382F9D"/>
    <w:rsid w:val="00383563"/>
    <w:rsid w:val="00386B65"/>
    <w:rsid w:val="0039009D"/>
    <w:rsid w:val="003902C5"/>
    <w:rsid w:val="00394217"/>
    <w:rsid w:val="00394371"/>
    <w:rsid w:val="00395171"/>
    <w:rsid w:val="0039657C"/>
    <w:rsid w:val="00396E7C"/>
    <w:rsid w:val="003A1FFC"/>
    <w:rsid w:val="003A2EC4"/>
    <w:rsid w:val="003A555C"/>
    <w:rsid w:val="003A6DDC"/>
    <w:rsid w:val="003B0340"/>
    <w:rsid w:val="003B0AB9"/>
    <w:rsid w:val="003B1E2F"/>
    <w:rsid w:val="003B26E0"/>
    <w:rsid w:val="003B2744"/>
    <w:rsid w:val="003B2F3A"/>
    <w:rsid w:val="003B3020"/>
    <w:rsid w:val="003B3A50"/>
    <w:rsid w:val="003B4807"/>
    <w:rsid w:val="003C2D8D"/>
    <w:rsid w:val="003C352B"/>
    <w:rsid w:val="003C37CF"/>
    <w:rsid w:val="003C4329"/>
    <w:rsid w:val="003C4439"/>
    <w:rsid w:val="003C50BC"/>
    <w:rsid w:val="003C52DD"/>
    <w:rsid w:val="003C5892"/>
    <w:rsid w:val="003C6A7C"/>
    <w:rsid w:val="003C6EB5"/>
    <w:rsid w:val="003C7B2B"/>
    <w:rsid w:val="003D0F4A"/>
    <w:rsid w:val="003D388D"/>
    <w:rsid w:val="003D3987"/>
    <w:rsid w:val="003D41E7"/>
    <w:rsid w:val="003D49F3"/>
    <w:rsid w:val="003D556B"/>
    <w:rsid w:val="003D5956"/>
    <w:rsid w:val="003D5B54"/>
    <w:rsid w:val="003E03A4"/>
    <w:rsid w:val="003E140B"/>
    <w:rsid w:val="003E25F7"/>
    <w:rsid w:val="003E27A7"/>
    <w:rsid w:val="003E3E6A"/>
    <w:rsid w:val="003E59EE"/>
    <w:rsid w:val="003E7059"/>
    <w:rsid w:val="003E71B9"/>
    <w:rsid w:val="003E7B01"/>
    <w:rsid w:val="003F0610"/>
    <w:rsid w:val="003F10A8"/>
    <w:rsid w:val="003F1494"/>
    <w:rsid w:val="003F5142"/>
    <w:rsid w:val="003F7161"/>
    <w:rsid w:val="003F734E"/>
    <w:rsid w:val="003F7F80"/>
    <w:rsid w:val="0040072D"/>
    <w:rsid w:val="00400A4F"/>
    <w:rsid w:val="00404725"/>
    <w:rsid w:val="0040596C"/>
    <w:rsid w:val="004063B3"/>
    <w:rsid w:val="00406B57"/>
    <w:rsid w:val="00407D4B"/>
    <w:rsid w:val="004102AA"/>
    <w:rsid w:val="004102DE"/>
    <w:rsid w:val="00411C73"/>
    <w:rsid w:val="00411DBC"/>
    <w:rsid w:val="00412413"/>
    <w:rsid w:val="00412F9F"/>
    <w:rsid w:val="00415126"/>
    <w:rsid w:val="00415127"/>
    <w:rsid w:val="00416AC0"/>
    <w:rsid w:val="00417094"/>
    <w:rsid w:val="0041784F"/>
    <w:rsid w:val="00421613"/>
    <w:rsid w:val="004238D9"/>
    <w:rsid w:val="00423E7C"/>
    <w:rsid w:val="00424B22"/>
    <w:rsid w:val="00426DB5"/>
    <w:rsid w:val="00431274"/>
    <w:rsid w:val="004343DF"/>
    <w:rsid w:val="004374AD"/>
    <w:rsid w:val="00443029"/>
    <w:rsid w:val="0044381C"/>
    <w:rsid w:val="0044388A"/>
    <w:rsid w:val="00445DD8"/>
    <w:rsid w:val="004529FD"/>
    <w:rsid w:val="004557D4"/>
    <w:rsid w:val="00457658"/>
    <w:rsid w:val="00460B9D"/>
    <w:rsid w:val="0046101A"/>
    <w:rsid w:val="00461A9E"/>
    <w:rsid w:val="004629D9"/>
    <w:rsid w:val="00462C74"/>
    <w:rsid w:val="00464630"/>
    <w:rsid w:val="00464862"/>
    <w:rsid w:val="004648EE"/>
    <w:rsid w:val="00464935"/>
    <w:rsid w:val="00464CA3"/>
    <w:rsid w:val="004672BA"/>
    <w:rsid w:val="00470AA8"/>
    <w:rsid w:val="00470B13"/>
    <w:rsid w:val="00470EED"/>
    <w:rsid w:val="00473960"/>
    <w:rsid w:val="0047577A"/>
    <w:rsid w:val="00475D76"/>
    <w:rsid w:val="004768FB"/>
    <w:rsid w:val="00476BA5"/>
    <w:rsid w:val="00477222"/>
    <w:rsid w:val="004778E3"/>
    <w:rsid w:val="00477B5C"/>
    <w:rsid w:val="00477B6C"/>
    <w:rsid w:val="00480351"/>
    <w:rsid w:val="004805E2"/>
    <w:rsid w:val="00480F04"/>
    <w:rsid w:val="0048259B"/>
    <w:rsid w:val="004828CA"/>
    <w:rsid w:val="00484C82"/>
    <w:rsid w:val="00485360"/>
    <w:rsid w:val="004853AA"/>
    <w:rsid w:val="00485637"/>
    <w:rsid w:val="00485F6E"/>
    <w:rsid w:val="00486500"/>
    <w:rsid w:val="004867A3"/>
    <w:rsid w:val="00486D98"/>
    <w:rsid w:val="00492049"/>
    <w:rsid w:val="004935F4"/>
    <w:rsid w:val="00494049"/>
    <w:rsid w:val="004942B1"/>
    <w:rsid w:val="00494C00"/>
    <w:rsid w:val="00495F2C"/>
    <w:rsid w:val="004A054C"/>
    <w:rsid w:val="004A0740"/>
    <w:rsid w:val="004A2E95"/>
    <w:rsid w:val="004A3758"/>
    <w:rsid w:val="004A47AA"/>
    <w:rsid w:val="004A4C21"/>
    <w:rsid w:val="004A6B8B"/>
    <w:rsid w:val="004A6F2C"/>
    <w:rsid w:val="004A6F41"/>
    <w:rsid w:val="004B2064"/>
    <w:rsid w:val="004B22BD"/>
    <w:rsid w:val="004B2F70"/>
    <w:rsid w:val="004B3137"/>
    <w:rsid w:val="004B327F"/>
    <w:rsid w:val="004B37BF"/>
    <w:rsid w:val="004B4449"/>
    <w:rsid w:val="004B51C7"/>
    <w:rsid w:val="004B6CEB"/>
    <w:rsid w:val="004C03DC"/>
    <w:rsid w:val="004C12A5"/>
    <w:rsid w:val="004C177B"/>
    <w:rsid w:val="004C2A9F"/>
    <w:rsid w:val="004C2DBB"/>
    <w:rsid w:val="004C2E4E"/>
    <w:rsid w:val="004C2EE7"/>
    <w:rsid w:val="004C39D7"/>
    <w:rsid w:val="004C6DF9"/>
    <w:rsid w:val="004C7C6F"/>
    <w:rsid w:val="004D07D7"/>
    <w:rsid w:val="004D11B6"/>
    <w:rsid w:val="004D135A"/>
    <w:rsid w:val="004D1986"/>
    <w:rsid w:val="004D2217"/>
    <w:rsid w:val="004D23D6"/>
    <w:rsid w:val="004D3084"/>
    <w:rsid w:val="004D3C16"/>
    <w:rsid w:val="004D4E5E"/>
    <w:rsid w:val="004D50C7"/>
    <w:rsid w:val="004E007D"/>
    <w:rsid w:val="004E1B86"/>
    <w:rsid w:val="004E2AD2"/>
    <w:rsid w:val="004E50E2"/>
    <w:rsid w:val="004E7AA9"/>
    <w:rsid w:val="004E7F7D"/>
    <w:rsid w:val="004F33C9"/>
    <w:rsid w:val="004F3D67"/>
    <w:rsid w:val="004F4178"/>
    <w:rsid w:val="004F448A"/>
    <w:rsid w:val="005008E7"/>
    <w:rsid w:val="00501DA7"/>
    <w:rsid w:val="005028B4"/>
    <w:rsid w:val="005029EC"/>
    <w:rsid w:val="005031FE"/>
    <w:rsid w:val="005047A0"/>
    <w:rsid w:val="00504A7C"/>
    <w:rsid w:val="00505CC5"/>
    <w:rsid w:val="00506044"/>
    <w:rsid w:val="00507B00"/>
    <w:rsid w:val="0051049B"/>
    <w:rsid w:val="0051061E"/>
    <w:rsid w:val="00510F35"/>
    <w:rsid w:val="00511D58"/>
    <w:rsid w:val="00514AFF"/>
    <w:rsid w:val="00514B36"/>
    <w:rsid w:val="00515035"/>
    <w:rsid w:val="00515F2D"/>
    <w:rsid w:val="00516595"/>
    <w:rsid w:val="0052389C"/>
    <w:rsid w:val="00524AF8"/>
    <w:rsid w:val="00525353"/>
    <w:rsid w:val="00525590"/>
    <w:rsid w:val="00525810"/>
    <w:rsid w:val="00530B41"/>
    <w:rsid w:val="0053310A"/>
    <w:rsid w:val="005337A6"/>
    <w:rsid w:val="005338CF"/>
    <w:rsid w:val="00535C13"/>
    <w:rsid w:val="00536386"/>
    <w:rsid w:val="00536771"/>
    <w:rsid w:val="00540776"/>
    <w:rsid w:val="00540D44"/>
    <w:rsid w:val="00540DB3"/>
    <w:rsid w:val="005411AB"/>
    <w:rsid w:val="00541525"/>
    <w:rsid w:val="005423E3"/>
    <w:rsid w:val="00542880"/>
    <w:rsid w:val="00542BFF"/>
    <w:rsid w:val="00543C72"/>
    <w:rsid w:val="00544218"/>
    <w:rsid w:val="0054480B"/>
    <w:rsid w:val="0054626F"/>
    <w:rsid w:val="005471C5"/>
    <w:rsid w:val="005505AE"/>
    <w:rsid w:val="00552D92"/>
    <w:rsid w:val="005542CE"/>
    <w:rsid w:val="00554AD0"/>
    <w:rsid w:val="00554F0A"/>
    <w:rsid w:val="00556613"/>
    <w:rsid w:val="0055752E"/>
    <w:rsid w:val="005623B6"/>
    <w:rsid w:val="00563757"/>
    <w:rsid w:val="00564641"/>
    <w:rsid w:val="00564EC4"/>
    <w:rsid w:val="00565522"/>
    <w:rsid w:val="00565867"/>
    <w:rsid w:val="0056659D"/>
    <w:rsid w:val="00566DD8"/>
    <w:rsid w:val="005740DE"/>
    <w:rsid w:val="00574B6D"/>
    <w:rsid w:val="00574C67"/>
    <w:rsid w:val="0057666F"/>
    <w:rsid w:val="00576F7B"/>
    <w:rsid w:val="00577C4E"/>
    <w:rsid w:val="00581C06"/>
    <w:rsid w:val="00582C22"/>
    <w:rsid w:val="0058308F"/>
    <w:rsid w:val="00585BD3"/>
    <w:rsid w:val="00587F59"/>
    <w:rsid w:val="005901A4"/>
    <w:rsid w:val="0059123F"/>
    <w:rsid w:val="00591811"/>
    <w:rsid w:val="00591A54"/>
    <w:rsid w:val="00597119"/>
    <w:rsid w:val="005973EF"/>
    <w:rsid w:val="00597DC1"/>
    <w:rsid w:val="005A188B"/>
    <w:rsid w:val="005A43CE"/>
    <w:rsid w:val="005A5292"/>
    <w:rsid w:val="005A5856"/>
    <w:rsid w:val="005A70DF"/>
    <w:rsid w:val="005A7611"/>
    <w:rsid w:val="005B06E7"/>
    <w:rsid w:val="005B085C"/>
    <w:rsid w:val="005B1E21"/>
    <w:rsid w:val="005B46AF"/>
    <w:rsid w:val="005C38F2"/>
    <w:rsid w:val="005C5527"/>
    <w:rsid w:val="005C5A33"/>
    <w:rsid w:val="005D1D38"/>
    <w:rsid w:val="005D2265"/>
    <w:rsid w:val="005D22BA"/>
    <w:rsid w:val="005D4525"/>
    <w:rsid w:val="005D4A39"/>
    <w:rsid w:val="005D6A2B"/>
    <w:rsid w:val="005E0E24"/>
    <w:rsid w:val="005E198D"/>
    <w:rsid w:val="005E2C67"/>
    <w:rsid w:val="005E3163"/>
    <w:rsid w:val="005E3A91"/>
    <w:rsid w:val="005E5427"/>
    <w:rsid w:val="005E66CE"/>
    <w:rsid w:val="005E68A6"/>
    <w:rsid w:val="005E7BA5"/>
    <w:rsid w:val="005E7E63"/>
    <w:rsid w:val="005F0762"/>
    <w:rsid w:val="005F07E6"/>
    <w:rsid w:val="005F13EE"/>
    <w:rsid w:val="005F3FEC"/>
    <w:rsid w:val="005F4F5E"/>
    <w:rsid w:val="005F540C"/>
    <w:rsid w:val="005F62F1"/>
    <w:rsid w:val="005F6529"/>
    <w:rsid w:val="005F7E3A"/>
    <w:rsid w:val="006009C2"/>
    <w:rsid w:val="00600A47"/>
    <w:rsid w:val="00600A80"/>
    <w:rsid w:val="00601535"/>
    <w:rsid w:val="006016E1"/>
    <w:rsid w:val="00601A9F"/>
    <w:rsid w:val="00601CB2"/>
    <w:rsid w:val="0060202E"/>
    <w:rsid w:val="00602E83"/>
    <w:rsid w:val="00604044"/>
    <w:rsid w:val="00610482"/>
    <w:rsid w:val="00611607"/>
    <w:rsid w:val="0061307E"/>
    <w:rsid w:val="00613ED4"/>
    <w:rsid w:val="006167C5"/>
    <w:rsid w:val="006179E8"/>
    <w:rsid w:val="00620CC7"/>
    <w:rsid w:val="0062332D"/>
    <w:rsid w:val="00623B4A"/>
    <w:rsid w:val="0062479A"/>
    <w:rsid w:val="00625068"/>
    <w:rsid w:val="00625606"/>
    <w:rsid w:val="0062599B"/>
    <w:rsid w:val="00626019"/>
    <w:rsid w:val="00626546"/>
    <w:rsid w:val="00626DB0"/>
    <w:rsid w:val="00627564"/>
    <w:rsid w:val="006275BA"/>
    <w:rsid w:val="00627CBA"/>
    <w:rsid w:val="0063129B"/>
    <w:rsid w:val="006316EE"/>
    <w:rsid w:val="00632C19"/>
    <w:rsid w:val="00632EFA"/>
    <w:rsid w:val="0063364D"/>
    <w:rsid w:val="00633BB4"/>
    <w:rsid w:val="00634550"/>
    <w:rsid w:val="00634711"/>
    <w:rsid w:val="006348D2"/>
    <w:rsid w:val="00634DB4"/>
    <w:rsid w:val="00635A8F"/>
    <w:rsid w:val="00635C92"/>
    <w:rsid w:val="00636DE7"/>
    <w:rsid w:val="00637379"/>
    <w:rsid w:val="006402E8"/>
    <w:rsid w:val="00640E56"/>
    <w:rsid w:val="0064168A"/>
    <w:rsid w:val="00641A83"/>
    <w:rsid w:val="0064265E"/>
    <w:rsid w:val="00642BE7"/>
    <w:rsid w:val="00642FAE"/>
    <w:rsid w:val="00645B76"/>
    <w:rsid w:val="00646C9A"/>
    <w:rsid w:val="00646CE1"/>
    <w:rsid w:val="00646ED1"/>
    <w:rsid w:val="00647FD5"/>
    <w:rsid w:val="00652033"/>
    <w:rsid w:val="0065544F"/>
    <w:rsid w:val="00655B37"/>
    <w:rsid w:val="0066041E"/>
    <w:rsid w:val="00660EBD"/>
    <w:rsid w:val="00660F69"/>
    <w:rsid w:val="00663190"/>
    <w:rsid w:val="00664CDC"/>
    <w:rsid w:val="00665610"/>
    <w:rsid w:val="00665CF3"/>
    <w:rsid w:val="00665FB3"/>
    <w:rsid w:val="00666114"/>
    <w:rsid w:val="00670C43"/>
    <w:rsid w:val="00671FAE"/>
    <w:rsid w:val="00673A23"/>
    <w:rsid w:val="00673A26"/>
    <w:rsid w:val="00673CC6"/>
    <w:rsid w:val="00674A66"/>
    <w:rsid w:val="00675CD7"/>
    <w:rsid w:val="00676BAB"/>
    <w:rsid w:val="00676E20"/>
    <w:rsid w:val="00677A69"/>
    <w:rsid w:val="0068005F"/>
    <w:rsid w:val="00680E1D"/>
    <w:rsid w:val="00681970"/>
    <w:rsid w:val="00682534"/>
    <w:rsid w:val="00682A0F"/>
    <w:rsid w:val="00682FA4"/>
    <w:rsid w:val="0068387A"/>
    <w:rsid w:val="00684113"/>
    <w:rsid w:val="00684474"/>
    <w:rsid w:val="00684BC6"/>
    <w:rsid w:val="006851B4"/>
    <w:rsid w:val="00685AD4"/>
    <w:rsid w:val="00685DE0"/>
    <w:rsid w:val="00686E04"/>
    <w:rsid w:val="006904E1"/>
    <w:rsid w:val="00690AF7"/>
    <w:rsid w:val="00692C07"/>
    <w:rsid w:val="00693D2B"/>
    <w:rsid w:val="00693EAC"/>
    <w:rsid w:val="0069513D"/>
    <w:rsid w:val="00695F61"/>
    <w:rsid w:val="00695F63"/>
    <w:rsid w:val="006979DE"/>
    <w:rsid w:val="006A0957"/>
    <w:rsid w:val="006A0EE9"/>
    <w:rsid w:val="006A225E"/>
    <w:rsid w:val="006A260C"/>
    <w:rsid w:val="006A2865"/>
    <w:rsid w:val="006A2FFA"/>
    <w:rsid w:val="006A5E42"/>
    <w:rsid w:val="006A7EBC"/>
    <w:rsid w:val="006B3CC5"/>
    <w:rsid w:val="006B3E64"/>
    <w:rsid w:val="006B514E"/>
    <w:rsid w:val="006B5820"/>
    <w:rsid w:val="006C0549"/>
    <w:rsid w:val="006C132B"/>
    <w:rsid w:val="006C1C59"/>
    <w:rsid w:val="006C1D9A"/>
    <w:rsid w:val="006C2097"/>
    <w:rsid w:val="006C333D"/>
    <w:rsid w:val="006C60E8"/>
    <w:rsid w:val="006C625B"/>
    <w:rsid w:val="006C6DD5"/>
    <w:rsid w:val="006C7B7E"/>
    <w:rsid w:val="006D0709"/>
    <w:rsid w:val="006D1242"/>
    <w:rsid w:val="006D28B1"/>
    <w:rsid w:val="006D316A"/>
    <w:rsid w:val="006D31D7"/>
    <w:rsid w:val="006D4E05"/>
    <w:rsid w:val="006D6C3E"/>
    <w:rsid w:val="006D7166"/>
    <w:rsid w:val="006E1070"/>
    <w:rsid w:val="006E173F"/>
    <w:rsid w:val="006E1DF2"/>
    <w:rsid w:val="006E1EC9"/>
    <w:rsid w:val="006E2CA2"/>
    <w:rsid w:val="006E3D5C"/>
    <w:rsid w:val="006E5267"/>
    <w:rsid w:val="006E5D01"/>
    <w:rsid w:val="006E685A"/>
    <w:rsid w:val="006F009B"/>
    <w:rsid w:val="006F185E"/>
    <w:rsid w:val="006F1E8F"/>
    <w:rsid w:val="006F318A"/>
    <w:rsid w:val="006F3973"/>
    <w:rsid w:val="006F4BBF"/>
    <w:rsid w:val="006F4E6D"/>
    <w:rsid w:val="006F5592"/>
    <w:rsid w:val="006F5B8C"/>
    <w:rsid w:val="006F5CB0"/>
    <w:rsid w:val="006F5EC4"/>
    <w:rsid w:val="006F74EC"/>
    <w:rsid w:val="00701701"/>
    <w:rsid w:val="00702931"/>
    <w:rsid w:val="00704991"/>
    <w:rsid w:val="00705A38"/>
    <w:rsid w:val="007063E5"/>
    <w:rsid w:val="007071B2"/>
    <w:rsid w:val="00710D46"/>
    <w:rsid w:val="00710F6F"/>
    <w:rsid w:val="00711BB4"/>
    <w:rsid w:val="0071284B"/>
    <w:rsid w:val="00712B70"/>
    <w:rsid w:val="00713210"/>
    <w:rsid w:val="007138E8"/>
    <w:rsid w:val="00714DEB"/>
    <w:rsid w:val="00715437"/>
    <w:rsid w:val="007229D7"/>
    <w:rsid w:val="0072364A"/>
    <w:rsid w:val="00723C16"/>
    <w:rsid w:val="00723CB0"/>
    <w:rsid w:val="0072489F"/>
    <w:rsid w:val="00725097"/>
    <w:rsid w:val="007253E9"/>
    <w:rsid w:val="0072675F"/>
    <w:rsid w:val="007276C2"/>
    <w:rsid w:val="007279EF"/>
    <w:rsid w:val="00730AD7"/>
    <w:rsid w:val="007315F6"/>
    <w:rsid w:val="007349A7"/>
    <w:rsid w:val="00735773"/>
    <w:rsid w:val="00735D2B"/>
    <w:rsid w:val="00736361"/>
    <w:rsid w:val="0073673D"/>
    <w:rsid w:val="0073694E"/>
    <w:rsid w:val="007372CA"/>
    <w:rsid w:val="007372F4"/>
    <w:rsid w:val="0073743B"/>
    <w:rsid w:val="00742533"/>
    <w:rsid w:val="007428AC"/>
    <w:rsid w:val="00742EC8"/>
    <w:rsid w:val="007432B7"/>
    <w:rsid w:val="007435EE"/>
    <w:rsid w:val="007461C1"/>
    <w:rsid w:val="00746272"/>
    <w:rsid w:val="007501C0"/>
    <w:rsid w:val="00750C7B"/>
    <w:rsid w:val="007517DF"/>
    <w:rsid w:val="0075209F"/>
    <w:rsid w:val="007521CC"/>
    <w:rsid w:val="00752669"/>
    <w:rsid w:val="007569CA"/>
    <w:rsid w:val="007570F1"/>
    <w:rsid w:val="00761C9E"/>
    <w:rsid w:val="00761D17"/>
    <w:rsid w:val="00762929"/>
    <w:rsid w:val="007633B2"/>
    <w:rsid w:val="0076347A"/>
    <w:rsid w:val="00763938"/>
    <w:rsid w:val="00764DE4"/>
    <w:rsid w:val="00764DFB"/>
    <w:rsid w:val="00766961"/>
    <w:rsid w:val="00766BE6"/>
    <w:rsid w:val="007672DF"/>
    <w:rsid w:val="007679AE"/>
    <w:rsid w:val="00772F5B"/>
    <w:rsid w:val="00773404"/>
    <w:rsid w:val="00773A61"/>
    <w:rsid w:val="0077456F"/>
    <w:rsid w:val="00775D74"/>
    <w:rsid w:val="00776706"/>
    <w:rsid w:val="007774A4"/>
    <w:rsid w:val="00777CA3"/>
    <w:rsid w:val="00780A84"/>
    <w:rsid w:val="00781742"/>
    <w:rsid w:val="00782B19"/>
    <w:rsid w:val="00782D08"/>
    <w:rsid w:val="00783B2F"/>
    <w:rsid w:val="007853DF"/>
    <w:rsid w:val="00786700"/>
    <w:rsid w:val="00787348"/>
    <w:rsid w:val="00791A2E"/>
    <w:rsid w:val="00791A3A"/>
    <w:rsid w:val="00792820"/>
    <w:rsid w:val="00792D33"/>
    <w:rsid w:val="00792EFA"/>
    <w:rsid w:val="00793DA1"/>
    <w:rsid w:val="007940D4"/>
    <w:rsid w:val="00794650"/>
    <w:rsid w:val="00796AAF"/>
    <w:rsid w:val="00796F27"/>
    <w:rsid w:val="00797D3D"/>
    <w:rsid w:val="007A0740"/>
    <w:rsid w:val="007A132A"/>
    <w:rsid w:val="007A1EEF"/>
    <w:rsid w:val="007A22B1"/>
    <w:rsid w:val="007A28C7"/>
    <w:rsid w:val="007A3286"/>
    <w:rsid w:val="007A3A7E"/>
    <w:rsid w:val="007A45AE"/>
    <w:rsid w:val="007A62E0"/>
    <w:rsid w:val="007B0569"/>
    <w:rsid w:val="007B10B7"/>
    <w:rsid w:val="007B1D06"/>
    <w:rsid w:val="007B1EE5"/>
    <w:rsid w:val="007B2483"/>
    <w:rsid w:val="007B310D"/>
    <w:rsid w:val="007B5BC7"/>
    <w:rsid w:val="007B6FED"/>
    <w:rsid w:val="007B7A84"/>
    <w:rsid w:val="007B7FB5"/>
    <w:rsid w:val="007C0184"/>
    <w:rsid w:val="007C01A3"/>
    <w:rsid w:val="007C0CDB"/>
    <w:rsid w:val="007C0EE5"/>
    <w:rsid w:val="007C2A2B"/>
    <w:rsid w:val="007C2E09"/>
    <w:rsid w:val="007C48B7"/>
    <w:rsid w:val="007C5027"/>
    <w:rsid w:val="007C524C"/>
    <w:rsid w:val="007D121A"/>
    <w:rsid w:val="007D1430"/>
    <w:rsid w:val="007D1CD2"/>
    <w:rsid w:val="007D2F15"/>
    <w:rsid w:val="007D3B79"/>
    <w:rsid w:val="007D3BED"/>
    <w:rsid w:val="007D4AAD"/>
    <w:rsid w:val="007D6253"/>
    <w:rsid w:val="007D6800"/>
    <w:rsid w:val="007D6E8F"/>
    <w:rsid w:val="007E18C0"/>
    <w:rsid w:val="007E4904"/>
    <w:rsid w:val="007E4EB9"/>
    <w:rsid w:val="007E63CF"/>
    <w:rsid w:val="007E63E8"/>
    <w:rsid w:val="007E720B"/>
    <w:rsid w:val="007F03A4"/>
    <w:rsid w:val="007F0B4F"/>
    <w:rsid w:val="007F2271"/>
    <w:rsid w:val="007F22C5"/>
    <w:rsid w:val="007F260A"/>
    <w:rsid w:val="007F547E"/>
    <w:rsid w:val="007F5B36"/>
    <w:rsid w:val="007F6A10"/>
    <w:rsid w:val="007F72AE"/>
    <w:rsid w:val="007F72E5"/>
    <w:rsid w:val="008000F1"/>
    <w:rsid w:val="008005E4"/>
    <w:rsid w:val="008012F5"/>
    <w:rsid w:val="008017F8"/>
    <w:rsid w:val="00803850"/>
    <w:rsid w:val="00803E2B"/>
    <w:rsid w:val="00813684"/>
    <w:rsid w:val="00813FD1"/>
    <w:rsid w:val="0081514A"/>
    <w:rsid w:val="008152A6"/>
    <w:rsid w:val="00817333"/>
    <w:rsid w:val="00817FF7"/>
    <w:rsid w:val="0082144D"/>
    <w:rsid w:val="00821EB9"/>
    <w:rsid w:val="0082220C"/>
    <w:rsid w:val="0082522D"/>
    <w:rsid w:val="0082555E"/>
    <w:rsid w:val="00825FC9"/>
    <w:rsid w:val="00826C41"/>
    <w:rsid w:val="00827056"/>
    <w:rsid w:val="008315A1"/>
    <w:rsid w:val="00831B75"/>
    <w:rsid w:val="00831C02"/>
    <w:rsid w:val="00832059"/>
    <w:rsid w:val="00832CD7"/>
    <w:rsid w:val="00833070"/>
    <w:rsid w:val="00835B9E"/>
    <w:rsid w:val="008373AB"/>
    <w:rsid w:val="00837780"/>
    <w:rsid w:val="00837987"/>
    <w:rsid w:val="00841191"/>
    <w:rsid w:val="00843B40"/>
    <w:rsid w:val="00845D77"/>
    <w:rsid w:val="00846455"/>
    <w:rsid w:val="0084706B"/>
    <w:rsid w:val="0084732B"/>
    <w:rsid w:val="00847796"/>
    <w:rsid w:val="008511ED"/>
    <w:rsid w:val="00851443"/>
    <w:rsid w:val="00853F05"/>
    <w:rsid w:val="00855553"/>
    <w:rsid w:val="00856230"/>
    <w:rsid w:val="00857FA1"/>
    <w:rsid w:val="008601F5"/>
    <w:rsid w:val="0086291E"/>
    <w:rsid w:val="00862BB5"/>
    <w:rsid w:val="008640BF"/>
    <w:rsid w:val="00864D47"/>
    <w:rsid w:val="00865316"/>
    <w:rsid w:val="008657DE"/>
    <w:rsid w:val="008661D8"/>
    <w:rsid w:val="00867792"/>
    <w:rsid w:val="00871E95"/>
    <w:rsid w:val="00872C31"/>
    <w:rsid w:val="00874277"/>
    <w:rsid w:val="0087525D"/>
    <w:rsid w:val="008753EF"/>
    <w:rsid w:val="00877241"/>
    <w:rsid w:val="0087746A"/>
    <w:rsid w:val="008779FB"/>
    <w:rsid w:val="00877B14"/>
    <w:rsid w:val="00877E17"/>
    <w:rsid w:val="008802A7"/>
    <w:rsid w:val="00880673"/>
    <w:rsid w:val="00881F53"/>
    <w:rsid w:val="00883425"/>
    <w:rsid w:val="00883BE6"/>
    <w:rsid w:val="00883EA4"/>
    <w:rsid w:val="00884A9C"/>
    <w:rsid w:val="00885BBE"/>
    <w:rsid w:val="00886450"/>
    <w:rsid w:val="00886473"/>
    <w:rsid w:val="0089093A"/>
    <w:rsid w:val="00890AF2"/>
    <w:rsid w:val="008923DB"/>
    <w:rsid w:val="00895611"/>
    <w:rsid w:val="008957D5"/>
    <w:rsid w:val="008966FB"/>
    <w:rsid w:val="00896D59"/>
    <w:rsid w:val="0089763F"/>
    <w:rsid w:val="008A2C0F"/>
    <w:rsid w:val="008A354D"/>
    <w:rsid w:val="008A37D7"/>
    <w:rsid w:val="008A41BF"/>
    <w:rsid w:val="008A554E"/>
    <w:rsid w:val="008B08A9"/>
    <w:rsid w:val="008B1E53"/>
    <w:rsid w:val="008B2713"/>
    <w:rsid w:val="008B2C98"/>
    <w:rsid w:val="008B3540"/>
    <w:rsid w:val="008B4DD8"/>
    <w:rsid w:val="008B608E"/>
    <w:rsid w:val="008B65B7"/>
    <w:rsid w:val="008B65F6"/>
    <w:rsid w:val="008B7DCD"/>
    <w:rsid w:val="008C04FA"/>
    <w:rsid w:val="008C13B6"/>
    <w:rsid w:val="008C39FF"/>
    <w:rsid w:val="008C3C60"/>
    <w:rsid w:val="008C4E3D"/>
    <w:rsid w:val="008C6B78"/>
    <w:rsid w:val="008D0B35"/>
    <w:rsid w:val="008D2380"/>
    <w:rsid w:val="008D25D6"/>
    <w:rsid w:val="008D327B"/>
    <w:rsid w:val="008D3C30"/>
    <w:rsid w:val="008D4985"/>
    <w:rsid w:val="008D4C51"/>
    <w:rsid w:val="008D5960"/>
    <w:rsid w:val="008D6FA8"/>
    <w:rsid w:val="008E1B8D"/>
    <w:rsid w:val="008E1F93"/>
    <w:rsid w:val="008E264B"/>
    <w:rsid w:val="008E2F14"/>
    <w:rsid w:val="008E3022"/>
    <w:rsid w:val="008E463B"/>
    <w:rsid w:val="008E46FC"/>
    <w:rsid w:val="008E68F0"/>
    <w:rsid w:val="008E7287"/>
    <w:rsid w:val="008E736B"/>
    <w:rsid w:val="008F0A6F"/>
    <w:rsid w:val="008F0A80"/>
    <w:rsid w:val="008F15BD"/>
    <w:rsid w:val="008F34B2"/>
    <w:rsid w:val="008F5C05"/>
    <w:rsid w:val="008F5C1D"/>
    <w:rsid w:val="008F5C4B"/>
    <w:rsid w:val="008F5FC5"/>
    <w:rsid w:val="008F69A1"/>
    <w:rsid w:val="008F6D86"/>
    <w:rsid w:val="009005F9"/>
    <w:rsid w:val="009006BC"/>
    <w:rsid w:val="009016C7"/>
    <w:rsid w:val="009076C7"/>
    <w:rsid w:val="00910F2E"/>
    <w:rsid w:val="0091191D"/>
    <w:rsid w:val="009125B1"/>
    <w:rsid w:val="00913D5E"/>
    <w:rsid w:val="00914C5E"/>
    <w:rsid w:val="009176E4"/>
    <w:rsid w:val="009179C6"/>
    <w:rsid w:val="00917AE4"/>
    <w:rsid w:val="00920043"/>
    <w:rsid w:val="00921D95"/>
    <w:rsid w:val="0092226E"/>
    <w:rsid w:val="009224D2"/>
    <w:rsid w:val="00924109"/>
    <w:rsid w:val="0092453F"/>
    <w:rsid w:val="00925259"/>
    <w:rsid w:val="00925C3E"/>
    <w:rsid w:val="00926C46"/>
    <w:rsid w:val="00927C24"/>
    <w:rsid w:val="00930745"/>
    <w:rsid w:val="009344C1"/>
    <w:rsid w:val="00934B85"/>
    <w:rsid w:val="00940174"/>
    <w:rsid w:val="009409C8"/>
    <w:rsid w:val="009425A8"/>
    <w:rsid w:val="00945EE2"/>
    <w:rsid w:val="00947DBA"/>
    <w:rsid w:val="009504B0"/>
    <w:rsid w:val="0095073D"/>
    <w:rsid w:val="009514E3"/>
    <w:rsid w:val="00951843"/>
    <w:rsid w:val="00953710"/>
    <w:rsid w:val="00953A4A"/>
    <w:rsid w:val="00953C33"/>
    <w:rsid w:val="0095745D"/>
    <w:rsid w:val="00957621"/>
    <w:rsid w:val="00957A02"/>
    <w:rsid w:val="009604B0"/>
    <w:rsid w:val="00961031"/>
    <w:rsid w:val="009612BE"/>
    <w:rsid w:val="009612DC"/>
    <w:rsid w:val="00961474"/>
    <w:rsid w:val="0096184A"/>
    <w:rsid w:val="00961F87"/>
    <w:rsid w:val="0096291E"/>
    <w:rsid w:val="00962B2E"/>
    <w:rsid w:val="00962E8E"/>
    <w:rsid w:val="00963AE7"/>
    <w:rsid w:val="00963D28"/>
    <w:rsid w:val="00964358"/>
    <w:rsid w:val="0096492B"/>
    <w:rsid w:val="00965BD0"/>
    <w:rsid w:val="009660A2"/>
    <w:rsid w:val="00966455"/>
    <w:rsid w:val="00972B92"/>
    <w:rsid w:val="00973B2B"/>
    <w:rsid w:val="009747B9"/>
    <w:rsid w:val="00975FF7"/>
    <w:rsid w:val="00976063"/>
    <w:rsid w:val="0097706B"/>
    <w:rsid w:val="00977D08"/>
    <w:rsid w:val="00980391"/>
    <w:rsid w:val="0098116D"/>
    <w:rsid w:val="00985136"/>
    <w:rsid w:val="00985AB0"/>
    <w:rsid w:val="009913EB"/>
    <w:rsid w:val="00992055"/>
    <w:rsid w:val="00993980"/>
    <w:rsid w:val="009943A7"/>
    <w:rsid w:val="009961F0"/>
    <w:rsid w:val="009A2A51"/>
    <w:rsid w:val="009A369F"/>
    <w:rsid w:val="009A3B09"/>
    <w:rsid w:val="009A4DE5"/>
    <w:rsid w:val="009A5162"/>
    <w:rsid w:val="009A5BC8"/>
    <w:rsid w:val="009A6003"/>
    <w:rsid w:val="009A62F8"/>
    <w:rsid w:val="009A69EB"/>
    <w:rsid w:val="009A7922"/>
    <w:rsid w:val="009B2E99"/>
    <w:rsid w:val="009B5B77"/>
    <w:rsid w:val="009B65DD"/>
    <w:rsid w:val="009B6A3B"/>
    <w:rsid w:val="009B6E33"/>
    <w:rsid w:val="009B7A19"/>
    <w:rsid w:val="009C11FC"/>
    <w:rsid w:val="009C1682"/>
    <w:rsid w:val="009C1824"/>
    <w:rsid w:val="009C4120"/>
    <w:rsid w:val="009C6950"/>
    <w:rsid w:val="009C7BC0"/>
    <w:rsid w:val="009D06BB"/>
    <w:rsid w:val="009D1680"/>
    <w:rsid w:val="009D2333"/>
    <w:rsid w:val="009D275C"/>
    <w:rsid w:val="009D2F22"/>
    <w:rsid w:val="009D374A"/>
    <w:rsid w:val="009D4225"/>
    <w:rsid w:val="009D72E1"/>
    <w:rsid w:val="009E038B"/>
    <w:rsid w:val="009E42AC"/>
    <w:rsid w:val="009E511E"/>
    <w:rsid w:val="009E542A"/>
    <w:rsid w:val="009E551C"/>
    <w:rsid w:val="009E7B3B"/>
    <w:rsid w:val="009F0612"/>
    <w:rsid w:val="009F1342"/>
    <w:rsid w:val="009F17B7"/>
    <w:rsid w:val="009F24A6"/>
    <w:rsid w:val="009F3B74"/>
    <w:rsid w:val="009F4079"/>
    <w:rsid w:val="009F47D5"/>
    <w:rsid w:val="009F4D87"/>
    <w:rsid w:val="009F5DEC"/>
    <w:rsid w:val="009F65B5"/>
    <w:rsid w:val="009F75DB"/>
    <w:rsid w:val="00A012F7"/>
    <w:rsid w:val="00A01323"/>
    <w:rsid w:val="00A01871"/>
    <w:rsid w:val="00A0191D"/>
    <w:rsid w:val="00A02261"/>
    <w:rsid w:val="00A022F5"/>
    <w:rsid w:val="00A02A6E"/>
    <w:rsid w:val="00A03A2B"/>
    <w:rsid w:val="00A044E6"/>
    <w:rsid w:val="00A05F87"/>
    <w:rsid w:val="00A063BD"/>
    <w:rsid w:val="00A070D6"/>
    <w:rsid w:val="00A072FE"/>
    <w:rsid w:val="00A100CD"/>
    <w:rsid w:val="00A1251F"/>
    <w:rsid w:val="00A13E96"/>
    <w:rsid w:val="00A13ED7"/>
    <w:rsid w:val="00A17D71"/>
    <w:rsid w:val="00A22F93"/>
    <w:rsid w:val="00A236CD"/>
    <w:rsid w:val="00A252A3"/>
    <w:rsid w:val="00A261C5"/>
    <w:rsid w:val="00A27896"/>
    <w:rsid w:val="00A3040B"/>
    <w:rsid w:val="00A30CE7"/>
    <w:rsid w:val="00A31BFF"/>
    <w:rsid w:val="00A326E1"/>
    <w:rsid w:val="00A332C5"/>
    <w:rsid w:val="00A3410C"/>
    <w:rsid w:val="00A34A7C"/>
    <w:rsid w:val="00A3549C"/>
    <w:rsid w:val="00A362F6"/>
    <w:rsid w:val="00A364BB"/>
    <w:rsid w:val="00A364D7"/>
    <w:rsid w:val="00A36C8A"/>
    <w:rsid w:val="00A37AD5"/>
    <w:rsid w:val="00A405DE"/>
    <w:rsid w:val="00A4360B"/>
    <w:rsid w:val="00A43A64"/>
    <w:rsid w:val="00A452D0"/>
    <w:rsid w:val="00A457D7"/>
    <w:rsid w:val="00A47371"/>
    <w:rsid w:val="00A47B2F"/>
    <w:rsid w:val="00A51550"/>
    <w:rsid w:val="00A5231B"/>
    <w:rsid w:val="00A5295D"/>
    <w:rsid w:val="00A532A2"/>
    <w:rsid w:val="00A5347D"/>
    <w:rsid w:val="00A534F6"/>
    <w:rsid w:val="00A56552"/>
    <w:rsid w:val="00A602B1"/>
    <w:rsid w:val="00A60764"/>
    <w:rsid w:val="00A619AA"/>
    <w:rsid w:val="00A61B3B"/>
    <w:rsid w:val="00A640F1"/>
    <w:rsid w:val="00A64C10"/>
    <w:rsid w:val="00A65247"/>
    <w:rsid w:val="00A65835"/>
    <w:rsid w:val="00A672B0"/>
    <w:rsid w:val="00A70773"/>
    <w:rsid w:val="00A70CC7"/>
    <w:rsid w:val="00A71F3D"/>
    <w:rsid w:val="00A72F2B"/>
    <w:rsid w:val="00A73422"/>
    <w:rsid w:val="00A73D52"/>
    <w:rsid w:val="00A74A17"/>
    <w:rsid w:val="00A74EAD"/>
    <w:rsid w:val="00A75022"/>
    <w:rsid w:val="00A7653C"/>
    <w:rsid w:val="00A76749"/>
    <w:rsid w:val="00A776F3"/>
    <w:rsid w:val="00A77A1D"/>
    <w:rsid w:val="00A81272"/>
    <w:rsid w:val="00A8135A"/>
    <w:rsid w:val="00A82BB1"/>
    <w:rsid w:val="00A85441"/>
    <w:rsid w:val="00A86993"/>
    <w:rsid w:val="00A86F77"/>
    <w:rsid w:val="00A870C4"/>
    <w:rsid w:val="00A90543"/>
    <w:rsid w:val="00A91400"/>
    <w:rsid w:val="00A92B66"/>
    <w:rsid w:val="00A94615"/>
    <w:rsid w:val="00A948C1"/>
    <w:rsid w:val="00A94B41"/>
    <w:rsid w:val="00A950E0"/>
    <w:rsid w:val="00A9547D"/>
    <w:rsid w:val="00A959FB"/>
    <w:rsid w:val="00A96FB0"/>
    <w:rsid w:val="00A97427"/>
    <w:rsid w:val="00A978B6"/>
    <w:rsid w:val="00AA0436"/>
    <w:rsid w:val="00AA0DFB"/>
    <w:rsid w:val="00AA1B25"/>
    <w:rsid w:val="00AA2838"/>
    <w:rsid w:val="00AA2E1E"/>
    <w:rsid w:val="00AA57A6"/>
    <w:rsid w:val="00AA59F1"/>
    <w:rsid w:val="00AA5C53"/>
    <w:rsid w:val="00AA77C4"/>
    <w:rsid w:val="00AA7F93"/>
    <w:rsid w:val="00AB0608"/>
    <w:rsid w:val="00AB21FD"/>
    <w:rsid w:val="00AB32BE"/>
    <w:rsid w:val="00AB33D8"/>
    <w:rsid w:val="00AB3596"/>
    <w:rsid w:val="00AB50F5"/>
    <w:rsid w:val="00AB521C"/>
    <w:rsid w:val="00AC0697"/>
    <w:rsid w:val="00AC20D7"/>
    <w:rsid w:val="00AC3473"/>
    <w:rsid w:val="00AC3EE1"/>
    <w:rsid w:val="00AC4CEE"/>
    <w:rsid w:val="00AC57A2"/>
    <w:rsid w:val="00AC5B27"/>
    <w:rsid w:val="00AD0344"/>
    <w:rsid w:val="00AD0C3B"/>
    <w:rsid w:val="00AD1F50"/>
    <w:rsid w:val="00AD2F97"/>
    <w:rsid w:val="00AD31C4"/>
    <w:rsid w:val="00AD557E"/>
    <w:rsid w:val="00AD64A7"/>
    <w:rsid w:val="00AD6891"/>
    <w:rsid w:val="00AE1DDF"/>
    <w:rsid w:val="00AE2C37"/>
    <w:rsid w:val="00AE2DBD"/>
    <w:rsid w:val="00AE316E"/>
    <w:rsid w:val="00AE3D23"/>
    <w:rsid w:val="00AE6D22"/>
    <w:rsid w:val="00AE7A31"/>
    <w:rsid w:val="00AF0430"/>
    <w:rsid w:val="00AF2594"/>
    <w:rsid w:val="00AF36AC"/>
    <w:rsid w:val="00AF4782"/>
    <w:rsid w:val="00AF4FC7"/>
    <w:rsid w:val="00AF521A"/>
    <w:rsid w:val="00AF74CF"/>
    <w:rsid w:val="00AF77F5"/>
    <w:rsid w:val="00AF7DD9"/>
    <w:rsid w:val="00B02473"/>
    <w:rsid w:val="00B0290E"/>
    <w:rsid w:val="00B0392E"/>
    <w:rsid w:val="00B0467A"/>
    <w:rsid w:val="00B04C6D"/>
    <w:rsid w:val="00B04D3D"/>
    <w:rsid w:val="00B06FF2"/>
    <w:rsid w:val="00B132EC"/>
    <w:rsid w:val="00B13E64"/>
    <w:rsid w:val="00B14E7A"/>
    <w:rsid w:val="00B16FD9"/>
    <w:rsid w:val="00B174F8"/>
    <w:rsid w:val="00B17E6A"/>
    <w:rsid w:val="00B20063"/>
    <w:rsid w:val="00B20595"/>
    <w:rsid w:val="00B20BC0"/>
    <w:rsid w:val="00B215FC"/>
    <w:rsid w:val="00B2206C"/>
    <w:rsid w:val="00B22DF9"/>
    <w:rsid w:val="00B23709"/>
    <w:rsid w:val="00B237EE"/>
    <w:rsid w:val="00B25407"/>
    <w:rsid w:val="00B258AA"/>
    <w:rsid w:val="00B25BFA"/>
    <w:rsid w:val="00B26000"/>
    <w:rsid w:val="00B27597"/>
    <w:rsid w:val="00B27E64"/>
    <w:rsid w:val="00B27F7A"/>
    <w:rsid w:val="00B308D2"/>
    <w:rsid w:val="00B32B75"/>
    <w:rsid w:val="00B3317B"/>
    <w:rsid w:val="00B33CC5"/>
    <w:rsid w:val="00B33DAD"/>
    <w:rsid w:val="00B34334"/>
    <w:rsid w:val="00B3442E"/>
    <w:rsid w:val="00B367DC"/>
    <w:rsid w:val="00B3793C"/>
    <w:rsid w:val="00B4126B"/>
    <w:rsid w:val="00B41511"/>
    <w:rsid w:val="00B41737"/>
    <w:rsid w:val="00B43A9E"/>
    <w:rsid w:val="00B45DEE"/>
    <w:rsid w:val="00B5092E"/>
    <w:rsid w:val="00B50D12"/>
    <w:rsid w:val="00B51108"/>
    <w:rsid w:val="00B51845"/>
    <w:rsid w:val="00B51B85"/>
    <w:rsid w:val="00B521FA"/>
    <w:rsid w:val="00B527A0"/>
    <w:rsid w:val="00B527D1"/>
    <w:rsid w:val="00B553AF"/>
    <w:rsid w:val="00B555D4"/>
    <w:rsid w:val="00B567E3"/>
    <w:rsid w:val="00B56B68"/>
    <w:rsid w:val="00B57D71"/>
    <w:rsid w:val="00B609F0"/>
    <w:rsid w:val="00B61AC2"/>
    <w:rsid w:val="00B62646"/>
    <w:rsid w:val="00B63455"/>
    <w:rsid w:val="00B6396F"/>
    <w:rsid w:val="00B6398A"/>
    <w:rsid w:val="00B63E07"/>
    <w:rsid w:val="00B64E86"/>
    <w:rsid w:val="00B6510C"/>
    <w:rsid w:val="00B66003"/>
    <w:rsid w:val="00B6641E"/>
    <w:rsid w:val="00B70D4F"/>
    <w:rsid w:val="00B71741"/>
    <w:rsid w:val="00B72998"/>
    <w:rsid w:val="00B7312B"/>
    <w:rsid w:val="00B73723"/>
    <w:rsid w:val="00B73C9A"/>
    <w:rsid w:val="00B753B9"/>
    <w:rsid w:val="00B75D61"/>
    <w:rsid w:val="00B76B64"/>
    <w:rsid w:val="00B76C81"/>
    <w:rsid w:val="00B81BE7"/>
    <w:rsid w:val="00B824D2"/>
    <w:rsid w:val="00B82849"/>
    <w:rsid w:val="00B845C3"/>
    <w:rsid w:val="00B8477E"/>
    <w:rsid w:val="00B84F79"/>
    <w:rsid w:val="00B85023"/>
    <w:rsid w:val="00B85C86"/>
    <w:rsid w:val="00B861B7"/>
    <w:rsid w:val="00B86A1B"/>
    <w:rsid w:val="00B86C4D"/>
    <w:rsid w:val="00B86DC1"/>
    <w:rsid w:val="00B87134"/>
    <w:rsid w:val="00B872B3"/>
    <w:rsid w:val="00B8744B"/>
    <w:rsid w:val="00B87769"/>
    <w:rsid w:val="00B87841"/>
    <w:rsid w:val="00B904F3"/>
    <w:rsid w:val="00B916C0"/>
    <w:rsid w:val="00B91904"/>
    <w:rsid w:val="00B91BB0"/>
    <w:rsid w:val="00B91D42"/>
    <w:rsid w:val="00B92A44"/>
    <w:rsid w:val="00B93801"/>
    <w:rsid w:val="00B94D67"/>
    <w:rsid w:val="00B96AE3"/>
    <w:rsid w:val="00B97726"/>
    <w:rsid w:val="00B97740"/>
    <w:rsid w:val="00BA0469"/>
    <w:rsid w:val="00BA15AC"/>
    <w:rsid w:val="00BA25F5"/>
    <w:rsid w:val="00BA37FC"/>
    <w:rsid w:val="00BA482D"/>
    <w:rsid w:val="00BA6520"/>
    <w:rsid w:val="00BA65AF"/>
    <w:rsid w:val="00BA65E7"/>
    <w:rsid w:val="00BA72FA"/>
    <w:rsid w:val="00BA78F4"/>
    <w:rsid w:val="00BB1157"/>
    <w:rsid w:val="00BB1F3A"/>
    <w:rsid w:val="00BB21F8"/>
    <w:rsid w:val="00BB2748"/>
    <w:rsid w:val="00BB29FD"/>
    <w:rsid w:val="00BB42E5"/>
    <w:rsid w:val="00BB6EF2"/>
    <w:rsid w:val="00BB7936"/>
    <w:rsid w:val="00BB7FE3"/>
    <w:rsid w:val="00BC2376"/>
    <w:rsid w:val="00BC3093"/>
    <w:rsid w:val="00BC44F0"/>
    <w:rsid w:val="00BC4613"/>
    <w:rsid w:val="00BC4A0C"/>
    <w:rsid w:val="00BC60E9"/>
    <w:rsid w:val="00BC65B2"/>
    <w:rsid w:val="00BC6646"/>
    <w:rsid w:val="00BC79ED"/>
    <w:rsid w:val="00BC7E6B"/>
    <w:rsid w:val="00BD1238"/>
    <w:rsid w:val="00BD26FE"/>
    <w:rsid w:val="00BD2740"/>
    <w:rsid w:val="00BD29F2"/>
    <w:rsid w:val="00BD3265"/>
    <w:rsid w:val="00BD4304"/>
    <w:rsid w:val="00BD4398"/>
    <w:rsid w:val="00BD5E86"/>
    <w:rsid w:val="00BD66F0"/>
    <w:rsid w:val="00BD7197"/>
    <w:rsid w:val="00BD7C64"/>
    <w:rsid w:val="00BE00E8"/>
    <w:rsid w:val="00BE2DB1"/>
    <w:rsid w:val="00BE64EA"/>
    <w:rsid w:val="00BF14F0"/>
    <w:rsid w:val="00BF15F6"/>
    <w:rsid w:val="00BF21BE"/>
    <w:rsid w:val="00BF342A"/>
    <w:rsid w:val="00BF4148"/>
    <w:rsid w:val="00BF4257"/>
    <w:rsid w:val="00BF6278"/>
    <w:rsid w:val="00BF694F"/>
    <w:rsid w:val="00BF7025"/>
    <w:rsid w:val="00BF7EA1"/>
    <w:rsid w:val="00C01545"/>
    <w:rsid w:val="00C02A0D"/>
    <w:rsid w:val="00C02F66"/>
    <w:rsid w:val="00C0421A"/>
    <w:rsid w:val="00C04849"/>
    <w:rsid w:val="00C05A78"/>
    <w:rsid w:val="00C06D75"/>
    <w:rsid w:val="00C06E40"/>
    <w:rsid w:val="00C10490"/>
    <w:rsid w:val="00C1081F"/>
    <w:rsid w:val="00C11057"/>
    <w:rsid w:val="00C11461"/>
    <w:rsid w:val="00C11BA6"/>
    <w:rsid w:val="00C12AD0"/>
    <w:rsid w:val="00C12CAC"/>
    <w:rsid w:val="00C1336E"/>
    <w:rsid w:val="00C14E1D"/>
    <w:rsid w:val="00C159A5"/>
    <w:rsid w:val="00C15C30"/>
    <w:rsid w:val="00C16D4C"/>
    <w:rsid w:val="00C16FCF"/>
    <w:rsid w:val="00C16FEF"/>
    <w:rsid w:val="00C210F1"/>
    <w:rsid w:val="00C2150F"/>
    <w:rsid w:val="00C22E10"/>
    <w:rsid w:val="00C24A6C"/>
    <w:rsid w:val="00C25682"/>
    <w:rsid w:val="00C2622B"/>
    <w:rsid w:val="00C26D16"/>
    <w:rsid w:val="00C321D8"/>
    <w:rsid w:val="00C32336"/>
    <w:rsid w:val="00C3262C"/>
    <w:rsid w:val="00C32DD9"/>
    <w:rsid w:val="00C339FE"/>
    <w:rsid w:val="00C35603"/>
    <w:rsid w:val="00C3619B"/>
    <w:rsid w:val="00C37128"/>
    <w:rsid w:val="00C372ED"/>
    <w:rsid w:val="00C4053C"/>
    <w:rsid w:val="00C40804"/>
    <w:rsid w:val="00C41FE4"/>
    <w:rsid w:val="00C435F6"/>
    <w:rsid w:val="00C4420E"/>
    <w:rsid w:val="00C4435D"/>
    <w:rsid w:val="00C44C86"/>
    <w:rsid w:val="00C45100"/>
    <w:rsid w:val="00C451AD"/>
    <w:rsid w:val="00C458C9"/>
    <w:rsid w:val="00C47E63"/>
    <w:rsid w:val="00C50B4E"/>
    <w:rsid w:val="00C511D5"/>
    <w:rsid w:val="00C517E5"/>
    <w:rsid w:val="00C527D6"/>
    <w:rsid w:val="00C534FD"/>
    <w:rsid w:val="00C549E0"/>
    <w:rsid w:val="00C5648B"/>
    <w:rsid w:val="00C56641"/>
    <w:rsid w:val="00C56B8C"/>
    <w:rsid w:val="00C57075"/>
    <w:rsid w:val="00C57BB1"/>
    <w:rsid w:val="00C60740"/>
    <w:rsid w:val="00C60F39"/>
    <w:rsid w:val="00C61246"/>
    <w:rsid w:val="00C642C1"/>
    <w:rsid w:val="00C64A48"/>
    <w:rsid w:val="00C64D7C"/>
    <w:rsid w:val="00C66104"/>
    <w:rsid w:val="00C66267"/>
    <w:rsid w:val="00C66714"/>
    <w:rsid w:val="00C6729B"/>
    <w:rsid w:val="00C7048D"/>
    <w:rsid w:val="00C70563"/>
    <w:rsid w:val="00C71AD9"/>
    <w:rsid w:val="00C72CA6"/>
    <w:rsid w:val="00C745E0"/>
    <w:rsid w:val="00C74763"/>
    <w:rsid w:val="00C74772"/>
    <w:rsid w:val="00C77C18"/>
    <w:rsid w:val="00C801BA"/>
    <w:rsid w:val="00C806E2"/>
    <w:rsid w:val="00C80C69"/>
    <w:rsid w:val="00C81578"/>
    <w:rsid w:val="00C81F0D"/>
    <w:rsid w:val="00C84894"/>
    <w:rsid w:val="00C85539"/>
    <w:rsid w:val="00C86260"/>
    <w:rsid w:val="00C87417"/>
    <w:rsid w:val="00C87A88"/>
    <w:rsid w:val="00C87F43"/>
    <w:rsid w:val="00C92829"/>
    <w:rsid w:val="00C92B6E"/>
    <w:rsid w:val="00C941C8"/>
    <w:rsid w:val="00C941F9"/>
    <w:rsid w:val="00C94793"/>
    <w:rsid w:val="00C95112"/>
    <w:rsid w:val="00C95D70"/>
    <w:rsid w:val="00C97444"/>
    <w:rsid w:val="00CA2535"/>
    <w:rsid w:val="00CA4E98"/>
    <w:rsid w:val="00CA5F61"/>
    <w:rsid w:val="00CA621A"/>
    <w:rsid w:val="00CA7B6B"/>
    <w:rsid w:val="00CB06F6"/>
    <w:rsid w:val="00CB129E"/>
    <w:rsid w:val="00CB1F6B"/>
    <w:rsid w:val="00CB2303"/>
    <w:rsid w:val="00CB2711"/>
    <w:rsid w:val="00CB4BC5"/>
    <w:rsid w:val="00CB6FB1"/>
    <w:rsid w:val="00CC0F95"/>
    <w:rsid w:val="00CC1413"/>
    <w:rsid w:val="00CC1644"/>
    <w:rsid w:val="00CC363D"/>
    <w:rsid w:val="00CC391E"/>
    <w:rsid w:val="00CC43F8"/>
    <w:rsid w:val="00CC6E26"/>
    <w:rsid w:val="00CC7E62"/>
    <w:rsid w:val="00CC7FF3"/>
    <w:rsid w:val="00CD0387"/>
    <w:rsid w:val="00CD0635"/>
    <w:rsid w:val="00CD0CC2"/>
    <w:rsid w:val="00CD114B"/>
    <w:rsid w:val="00CD4E75"/>
    <w:rsid w:val="00CD563D"/>
    <w:rsid w:val="00CD6735"/>
    <w:rsid w:val="00CD70C8"/>
    <w:rsid w:val="00CE0E7D"/>
    <w:rsid w:val="00CE2453"/>
    <w:rsid w:val="00CE26F6"/>
    <w:rsid w:val="00CE3032"/>
    <w:rsid w:val="00CE725E"/>
    <w:rsid w:val="00CE7957"/>
    <w:rsid w:val="00CF03A4"/>
    <w:rsid w:val="00CF052F"/>
    <w:rsid w:val="00CF09C2"/>
    <w:rsid w:val="00CF13A8"/>
    <w:rsid w:val="00CF171F"/>
    <w:rsid w:val="00CF1AF0"/>
    <w:rsid w:val="00CF30B0"/>
    <w:rsid w:val="00CF31DB"/>
    <w:rsid w:val="00CF3DFF"/>
    <w:rsid w:val="00CF4D9C"/>
    <w:rsid w:val="00CF60AE"/>
    <w:rsid w:val="00CF620E"/>
    <w:rsid w:val="00CF6F35"/>
    <w:rsid w:val="00CF7C84"/>
    <w:rsid w:val="00D0057D"/>
    <w:rsid w:val="00D011BB"/>
    <w:rsid w:val="00D029C0"/>
    <w:rsid w:val="00D0350B"/>
    <w:rsid w:val="00D0437E"/>
    <w:rsid w:val="00D04917"/>
    <w:rsid w:val="00D04AB4"/>
    <w:rsid w:val="00D0502A"/>
    <w:rsid w:val="00D0556C"/>
    <w:rsid w:val="00D06137"/>
    <w:rsid w:val="00D07B09"/>
    <w:rsid w:val="00D07F58"/>
    <w:rsid w:val="00D1088B"/>
    <w:rsid w:val="00D10CC0"/>
    <w:rsid w:val="00D110EB"/>
    <w:rsid w:val="00D113C3"/>
    <w:rsid w:val="00D12046"/>
    <w:rsid w:val="00D127BD"/>
    <w:rsid w:val="00D15D3D"/>
    <w:rsid w:val="00D17A7D"/>
    <w:rsid w:val="00D17AB9"/>
    <w:rsid w:val="00D2066A"/>
    <w:rsid w:val="00D21339"/>
    <w:rsid w:val="00D2201B"/>
    <w:rsid w:val="00D22C2F"/>
    <w:rsid w:val="00D2386D"/>
    <w:rsid w:val="00D24CAB"/>
    <w:rsid w:val="00D25486"/>
    <w:rsid w:val="00D256E4"/>
    <w:rsid w:val="00D270B0"/>
    <w:rsid w:val="00D274A1"/>
    <w:rsid w:val="00D2758C"/>
    <w:rsid w:val="00D278D5"/>
    <w:rsid w:val="00D3041E"/>
    <w:rsid w:val="00D30B1E"/>
    <w:rsid w:val="00D31143"/>
    <w:rsid w:val="00D346AF"/>
    <w:rsid w:val="00D35567"/>
    <w:rsid w:val="00D3600A"/>
    <w:rsid w:val="00D41A86"/>
    <w:rsid w:val="00D43490"/>
    <w:rsid w:val="00D43AA4"/>
    <w:rsid w:val="00D44B83"/>
    <w:rsid w:val="00D44D26"/>
    <w:rsid w:val="00D46751"/>
    <w:rsid w:val="00D46B32"/>
    <w:rsid w:val="00D47077"/>
    <w:rsid w:val="00D50688"/>
    <w:rsid w:val="00D510D4"/>
    <w:rsid w:val="00D52EA9"/>
    <w:rsid w:val="00D54DFD"/>
    <w:rsid w:val="00D54FD0"/>
    <w:rsid w:val="00D55512"/>
    <w:rsid w:val="00D5733A"/>
    <w:rsid w:val="00D57FB4"/>
    <w:rsid w:val="00D61633"/>
    <w:rsid w:val="00D6270C"/>
    <w:rsid w:val="00D62971"/>
    <w:rsid w:val="00D62F28"/>
    <w:rsid w:val="00D6549D"/>
    <w:rsid w:val="00D66564"/>
    <w:rsid w:val="00D66BA9"/>
    <w:rsid w:val="00D67153"/>
    <w:rsid w:val="00D67BAF"/>
    <w:rsid w:val="00D67FD4"/>
    <w:rsid w:val="00D705AB"/>
    <w:rsid w:val="00D70BC8"/>
    <w:rsid w:val="00D72D16"/>
    <w:rsid w:val="00D7378B"/>
    <w:rsid w:val="00D73F7E"/>
    <w:rsid w:val="00D742B9"/>
    <w:rsid w:val="00D76BF9"/>
    <w:rsid w:val="00D77382"/>
    <w:rsid w:val="00D774F3"/>
    <w:rsid w:val="00D77B81"/>
    <w:rsid w:val="00D80628"/>
    <w:rsid w:val="00D837B9"/>
    <w:rsid w:val="00D841BB"/>
    <w:rsid w:val="00D85484"/>
    <w:rsid w:val="00D856C5"/>
    <w:rsid w:val="00D867DD"/>
    <w:rsid w:val="00D86A3E"/>
    <w:rsid w:val="00D87124"/>
    <w:rsid w:val="00D879F3"/>
    <w:rsid w:val="00D9007E"/>
    <w:rsid w:val="00D903E3"/>
    <w:rsid w:val="00D90CDD"/>
    <w:rsid w:val="00D90D07"/>
    <w:rsid w:val="00D9114B"/>
    <w:rsid w:val="00D92430"/>
    <w:rsid w:val="00D9283F"/>
    <w:rsid w:val="00D94803"/>
    <w:rsid w:val="00D94902"/>
    <w:rsid w:val="00D9511E"/>
    <w:rsid w:val="00D95A0A"/>
    <w:rsid w:val="00D95B1E"/>
    <w:rsid w:val="00D9603C"/>
    <w:rsid w:val="00D9623F"/>
    <w:rsid w:val="00D96BA0"/>
    <w:rsid w:val="00D96FF0"/>
    <w:rsid w:val="00D97A1C"/>
    <w:rsid w:val="00DA09A4"/>
    <w:rsid w:val="00DA38FF"/>
    <w:rsid w:val="00DA3E4E"/>
    <w:rsid w:val="00DA4C72"/>
    <w:rsid w:val="00DA4F70"/>
    <w:rsid w:val="00DA6E50"/>
    <w:rsid w:val="00DB069A"/>
    <w:rsid w:val="00DB0E2A"/>
    <w:rsid w:val="00DB2BD4"/>
    <w:rsid w:val="00DB3157"/>
    <w:rsid w:val="00DB3598"/>
    <w:rsid w:val="00DB4978"/>
    <w:rsid w:val="00DB498F"/>
    <w:rsid w:val="00DB4DF3"/>
    <w:rsid w:val="00DB52A1"/>
    <w:rsid w:val="00DB6141"/>
    <w:rsid w:val="00DB68D3"/>
    <w:rsid w:val="00DC0D4A"/>
    <w:rsid w:val="00DC14C1"/>
    <w:rsid w:val="00DC2CA0"/>
    <w:rsid w:val="00DC31E3"/>
    <w:rsid w:val="00DC39A7"/>
    <w:rsid w:val="00DC3EAE"/>
    <w:rsid w:val="00DC48DB"/>
    <w:rsid w:val="00DC4E4D"/>
    <w:rsid w:val="00DC57CC"/>
    <w:rsid w:val="00DC6E10"/>
    <w:rsid w:val="00DC7331"/>
    <w:rsid w:val="00DD27C6"/>
    <w:rsid w:val="00DD4626"/>
    <w:rsid w:val="00DD4E7A"/>
    <w:rsid w:val="00DD5852"/>
    <w:rsid w:val="00DE1121"/>
    <w:rsid w:val="00DE122D"/>
    <w:rsid w:val="00DE276B"/>
    <w:rsid w:val="00DE30E9"/>
    <w:rsid w:val="00DE4B87"/>
    <w:rsid w:val="00DE5222"/>
    <w:rsid w:val="00DE5A23"/>
    <w:rsid w:val="00DF1576"/>
    <w:rsid w:val="00DF1A2C"/>
    <w:rsid w:val="00DF2204"/>
    <w:rsid w:val="00DF26F4"/>
    <w:rsid w:val="00DF3BA9"/>
    <w:rsid w:val="00DF469A"/>
    <w:rsid w:val="00DF5CEB"/>
    <w:rsid w:val="00DF6A1E"/>
    <w:rsid w:val="00DF70AB"/>
    <w:rsid w:val="00E00675"/>
    <w:rsid w:val="00E00B00"/>
    <w:rsid w:val="00E01510"/>
    <w:rsid w:val="00E0192C"/>
    <w:rsid w:val="00E01C65"/>
    <w:rsid w:val="00E01F57"/>
    <w:rsid w:val="00E02E48"/>
    <w:rsid w:val="00E0442B"/>
    <w:rsid w:val="00E04912"/>
    <w:rsid w:val="00E06D16"/>
    <w:rsid w:val="00E07756"/>
    <w:rsid w:val="00E10166"/>
    <w:rsid w:val="00E11CA3"/>
    <w:rsid w:val="00E125D7"/>
    <w:rsid w:val="00E12D07"/>
    <w:rsid w:val="00E13A7B"/>
    <w:rsid w:val="00E15194"/>
    <w:rsid w:val="00E1691B"/>
    <w:rsid w:val="00E16E20"/>
    <w:rsid w:val="00E202C4"/>
    <w:rsid w:val="00E2071A"/>
    <w:rsid w:val="00E2406A"/>
    <w:rsid w:val="00E2533F"/>
    <w:rsid w:val="00E278E5"/>
    <w:rsid w:val="00E27B8A"/>
    <w:rsid w:val="00E30B24"/>
    <w:rsid w:val="00E31C27"/>
    <w:rsid w:val="00E32635"/>
    <w:rsid w:val="00E33469"/>
    <w:rsid w:val="00E34A91"/>
    <w:rsid w:val="00E34C2A"/>
    <w:rsid w:val="00E34F9A"/>
    <w:rsid w:val="00E35F8D"/>
    <w:rsid w:val="00E3675C"/>
    <w:rsid w:val="00E40ACD"/>
    <w:rsid w:val="00E41C08"/>
    <w:rsid w:val="00E429C7"/>
    <w:rsid w:val="00E43BBC"/>
    <w:rsid w:val="00E44B57"/>
    <w:rsid w:val="00E4502D"/>
    <w:rsid w:val="00E4601D"/>
    <w:rsid w:val="00E47D6E"/>
    <w:rsid w:val="00E50D77"/>
    <w:rsid w:val="00E50E51"/>
    <w:rsid w:val="00E51F96"/>
    <w:rsid w:val="00E525FF"/>
    <w:rsid w:val="00E53797"/>
    <w:rsid w:val="00E54A1F"/>
    <w:rsid w:val="00E55061"/>
    <w:rsid w:val="00E56083"/>
    <w:rsid w:val="00E560A1"/>
    <w:rsid w:val="00E56E34"/>
    <w:rsid w:val="00E56F1D"/>
    <w:rsid w:val="00E57643"/>
    <w:rsid w:val="00E60151"/>
    <w:rsid w:val="00E60573"/>
    <w:rsid w:val="00E609BA"/>
    <w:rsid w:val="00E609D6"/>
    <w:rsid w:val="00E6280D"/>
    <w:rsid w:val="00E672D5"/>
    <w:rsid w:val="00E67892"/>
    <w:rsid w:val="00E70012"/>
    <w:rsid w:val="00E702B2"/>
    <w:rsid w:val="00E72688"/>
    <w:rsid w:val="00E728F9"/>
    <w:rsid w:val="00E729B7"/>
    <w:rsid w:val="00E72BD6"/>
    <w:rsid w:val="00E73638"/>
    <w:rsid w:val="00E751C0"/>
    <w:rsid w:val="00E77417"/>
    <w:rsid w:val="00E80250"/>
    <w:rsid w:val="00E80967"/>
    <w:rsid w:val="00E8181C"/>
    <w:rsid w:val="00E81FA5"/>
    <w:rsid w:val="00E8247F"/>
    <w:rsid w:val="00E82900"/>
    <w:rsid w:val="00E82DCE"/>
    <w:rsid w:val="00E84002"/>
    <w:rsid w:val="00E84B0C"/>
    <w:rsid w:val="00E85C76"/>
    <w:rsid w:val="00E8644C"/>
    <w:rsid w:val="00E86DC0"/>
    <w:rsid w:val="00E907F2"/>
    <w:rsid w:val="00E90C26"/>
    <w:rsid w:val="00E92AE7"/>
    <w:rsid w:val="00E937FF"/>
    <w:rsid w:val="00E94CBA"/>
    <w:rsid w:val="00E953AC"/>
    <w:rsid w:val="00E969BC"/>
    <w:rsid w:val="00E96C89"/>
    <w:rsid w:val="00EA1432"/>
    <w:rsid w:val="00EA1A4F"/>
    <w:rsid w:val="00EA20B0"/>
    <w:rsid w:val="00EA3910"/>
    <w:rsid w:val="00EA3B35"/>
    <w:rsid w:val="00EA3C11"/>
    <w:rsid w:val="00EA4807"/>
    <w:rsid w:val="00EA55C0"/>
    <w:rsid w:val="00EB02A9"/>
    <w:rsid w:val="00EB08D6"/>
    <w:rsid w:val="00EB17F4"/>
    <w:rsid w:val="00EB1B71"/>
    <w:rsid w:val="00EB1F3B"/>
    <w:rsid w:val="00EB36C3"/>
    <w:rsid w:val="00EB3F3F"/>
    <w:rsid w:val="00EB4DDC"/>
    <w:rsid w:val="00EB51D7"/>
    <w:rsid w:val="00EB5A12"/>
    <w:rsid w:val="00EB7957"/>
    <w:rsid w:val="00EC1298"/>
    <w:rsid w:val="00EC2D79"/>
    <w:rsid w:val="00EC4965"/>
    <w:rsid w:val="00EC4C36"/>
    <w:rsid w:val="00EC50BB"/>
    <w:rsid w:val="00EC5235"/>
    <w:rsid w:val="00EC5925"/>
    <w:rsid w:val="00EC63B4"/>
    <w:rsid w:val="00ED00D8"/>
    <w:rsid w:val="00ED63EF"/>
    <w:rsid w:val="00ED7B28"/>
    <w:rsid w:val="00EE0A4A"/>
    <w:rsid w:val="00EE1910"/>
    <w:rsid w:val="00EE1DAF"/>
    <w:rsid w:val="00EE278D"/>
    <w:rsid w:val="00EE31D8"/>
    <w:rsid w:val="00EE62E0"/>
    <w:rsid w:val="00EE6423"/>
    <w:rsid w:val="00EE790F"/>
    <w:rsid w:val="00EF005B"/>
    <w:rsid w:val="00EF01F0"/>
    <w:rsid w:val="00EF1003"/>
    <w:rsid w:val="00EF1B8E"/>
    <w:rsid w:val="00EF5362"/>
    <w:rsid w:val="00EF59E1"/>
    <w:rsid w:val="00EF59F0"/>
    <w:rsid w:val="00EF7CFB"/>
    <w:rsid w:val="00F02A5D"/>
    <w:rsid w:val="00F034C7"/>
    <w:rsid w:val="00F03B4A"/>
    <w:rsid w:val="00F03E88"/>
    <w:rsid w:val="00F03FEA"/>
    <w:rsid w:val="00F04000"/>
    <w:rsid w:val="00F041D3"/>
    <w:rsid w:val="00F046B8"/>
    <w:rsid w:val="00F04BB0"/>
    <w:rsid w:val="00F05B62"/>
    <w:rsid w:val="00F05DA6"/>
    <w:rsid w:val="00F05DB9"/>
    <w:rsid w:val="00F07693"/>
    <w:rsid w:val="00F11809"/>
    <w:rsid w:val="00F13665"/>
    <w:rsid w:val="00F16AB1"/>
    <w:rsid w:val="00F17545"/>
    <w:rsid w:val="00F205EE"/>
    <w:rsid w:val="00F20B55"/>
    <w:rsid w:val="00F213ED"/>
    <w:rsid w:val="00F220CB"/>
    <w:rsid w:val="00F2358B"/>
    <w:rsid w:val="00F2369C"/>
    <w:rsid w:val="00F23754"/>
    <w:rsid w:val="00F2444A"/>
    <w:rsid w:val="00F2454C"/>
    <w:rsid w:val="00F24565"/>
    <w:rsid w:val="00F2648B"/>
    <w:rsid w:val="00F27B39"/>
    <w:rsid w:val="00F27CD1"/>
    <w:rsid w:val="00F30060"/>
    <w:rsid w:val="00F35114"/>
    <w:rsid w:val="00F36587"/>
    <w:rsid w:val="00F3694B"/>
    <w:rsid w:val="00F37722"/>
    <w:rsid w:val="00F411F0"/>
    <w:rsid w:val="00F43113"/>
    <w:rsid w:val="00F43ABA"/>
    <w:rsid w:val="00F443A8"/>
    <w:rsid w:val="00F44A1D"/>
    <w:rsid w:val="00F453B6"/>
    <w:rsid w:val="00F45F67"/>
    <w:rsid w:val="00F461DF"/>
    <w:rsid w:val="00F464EE"/>
    <w:rsid w:val="00F46779"/>
    <w:rsid w:val="00F51527"/>
    <w:rsid w:val="00F5165A"/>
    <w:rsid w:val="00F5263C"/>
    <w:rsid w:val="00F53789"/>
    <w:rsid w:val="00F53CCC"/>
    <w:rsid w:val="00F53FB4"/>
    <w:rsid w:val="00F54CAB"/>
    <w:rsid w:val="00F55062"/>
    <w:rsid w:val="00F572A7"/>
    <w:rsid w:val="00F60F1F"/>
    <w:rsid w:val="00F611EA"/>
    <w:rsid w:val="00F614A0"/>
    <w:rsid w:val="00F61757"/>
    <w:rsid w:val="00F61A29"/>
    <w:rsid w:val="00F62673"/>
    <w:rsid w:val="00F63D7C"/>
    <w:rsid w:val="00F64DF5"/>
    <w:rsid w:val="00F656A8"/>
    <w:rsid w:val="00F65754"/>
    <w:rsid w:val="00F706B0"/>
    <w:rsid w:val="00F70D2A"/>
    <w:rsid w:val="00F70E53"/>
    <w:rsid w:val="00F711D4"/>
    <w:rsid w:val="00F7300E"/>
    <w:rsid w:val="00F74035"/>
    <w:rsid w:val="00F740CE"/>
    <w:rsid w:val="00F7444F"/>
    <w:rsid w:val="00F74DA6"/>
    <w:rsid w:val="00F74EAA"/>
    <w:rsid w:val="00F77252"/>
    <w:rsid w:val="00F778D5"/>
    <w:rsid w:val="00F80FED"/>
    <w:rsid w:val="00F82545"/>
    <w:rsid w:val="00F83B76"/>
    <w:rsid w:val="00F87446"/>
    <w:rsid w:val="00F90B01"/>
    <w:rsid w:val="00F90B7A"/>
    <w:rsid w:val="00F9102D"/>
    <w:rsid w:val="00F9283E"/>
    <w:rsid w:val="00F92DEE"/>
    <w:rsid w:val="00F93201"/>
    <w:rsid w:val="00F94DDC"/>
    <w:rsid w:val="00FA0FE1"/>
    <w:rsid w:val="00FA2DF8"/>
    <w:rsid w:val="00FA3905"/>
    <w:rsid w:val="00FA46E4"/>
    <w:rsid w:val="00FA5887"/>
    <w:rsid w:val="00FA661B"/>
    <w:rsid w:val="00FA6AAE"/>
    <w:rsid w:val="00FA79A4"/>
    <w:rsid w:val="00FB07E8"/>
    <w:rsid w:val="00FB2009"/>
    <w:rsid w:val="00FB3E06"/>
    <w:rsid w:val="00FB4DB7"/>
    <w:rsid w:val="00FB4F88"/>
    <w:rsid w:val="00FB5464"/>
    <w:rsid w:val="00FB59D8"/>
    <w:rsid w:val="00FB5C8F"/>
    <w:rsid w:val="00FB75BA"/>
    <w:rsid w:val="00FC15A0"/>
    <w:rsid w:val="00FC1C54"/>
    <w:rsid w:val="00FC2912"/>
    <w:rsid w:val="00FC4189"/>
    <w:rsid w:val="00FC5194"/>
    <w:rsid w:val="00FC62AC"/>
    <w:rsid w:val="00FC7E00"/>
    <w:rsid w:val="00FD0F83"/>
    <w:rsid w:val="00FD16E6"/>
    <w:rsid w:val="00FD26E1"/>
    <w:rsid w:val="00FD4C83"/>
    <w:rsid w:val="00FD6A7A"/>
    <w:rsid w:val="00FE30B8"/>
    <w:rsid w:val="00FE447F"/>
    <w:rsid w:val="00FE47F6"/>
    <w:rsid w:val="00FE54D0"/>
    <w:rsid w:val="00FE5C67"/>
    <w:rsid w:val="00FF0571"/>
    <w:rsid w:val="00FF446F"/>
    <w:rsid w:val="00FF45C6"/>
    <w:rsid w:val="00FF49AC"/>
    <w:rsid w:val="00FF4B37"/>
    <w:rsid w:val="00FF5405"/>
    <w:rsid w:val="00FF6CEB"/>
    <w:rsid w:val="00FF78D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64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2BE7"/>
    <w:rPr>
      <w:rFonts w:cs="Times New Roman"/>
      <w:color w:val="0000FF"/>
      <w:u w:val="single"/>
    </w:rPr>
  </w:style>
  <w:style w:type="paragraph" w:styleId="BalloonText">
    <w:name w:val="Balloon Text"/>
    <w:basedOn w:val="Normal"/>
    <w:link w:val="BalloonTextChar"/>
    <w:uiPriority w:val="99"/>
    <w:semiHidden/>
    <w:rsid w:val="000072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067"/>
    <w:rPr>
      <w:rFonts w:cs="Times New Roman"/>
      <w:sz w:val="2"/>
      <w:szCs w:val="2"/>
    </w:rPr>
  </w:style>
  <w:style w:type="character" w:customStyle="1" w:styleId="hps">
    <w:name w:val="hps"/>
    <w:basedOn w:val="DefaultParagraphFont"/>
    <w:uiPriority w:val="99"/>
    <w:rsid w:val="00577C4E"/>
    <w:rPr>
      <w:rFonts w:cs="Times New Roman"/>
    </w:rPr>
  </w:style>
  <w:style w:type="character" w:customStyle="1" w:styleId="hpsatn">
    <w:name w:val="hps atn"/>
    <w:basedOn w:val="DefaultParagraphFont"/>
    <w:uiPriority w:val="99"/>
    <w:rsid w:val="00577C4E"/>
    <w:rPr>
      <w:rFonts w:cs="Times New Roman"/>
    </w:rPr>
  </w:style>
  <w:style w:type="character" w:customStyle="1" w:styleId="atn">
    <w:name w:val="atn"/>
    <w:basedOn w:val="DefaultParagraphFont"/>
    <w:uiPriority w:val="99"/>
    <w:rsid w:val="00462C74"/>
    <w:rPr>
      <w:rFonts w:cs="Times New Roman"/>
    </w:rPr>
  </w:style>
  <w:style w:type="character" w:customStyle="1" w:styleId="gt-icon-text1">
    <w:name w:val="gt-icon-text1"/>
    <w:basedOn w:val="DefaultParagraphFont"/>
    <w:uiPriority w:val="99"/>
    <w:rsid w:val="00462C74"/>
    <w:rPr>
      <w:rFonts w:cs="Times New Roman"/>
    </w:rPr>
  </w:style>
  <w:style w:type="paragraph" w:styleId="Footer">
    <w:name w:val="footer"/>
    <w:basedOn w:val="Normal"/>
    <w:link w:val="FooterChar"/>
    <w:uiPriority w:val="99"/>
    <w:rsid w:val="008D3C30"/>
    <w:pPr>
      <w:tabs>
        <w:tab w:val="center" w:pos="4536"/>
        <w:tab w:val="right" w:pos="9072"/>
      </w:tabs>
    </w:pPr>
  </w:style>
  <w:style w:type="character" w:customStyle="1" w:styleId="FooterChar">
    <w:name w:val="Footer Char"/>
    <w:basedOn w:val="DefaultParagraphFont"/>
    <w:link w:val="Footer"/>
    <w:uiPriority w:val="99"/>
    <w:semiHidden/>
    <w:locked/>
    <w:rsid w:val="00203067"/>
    <w:rPr>
      <w:rFonts w:cs="Times New Roman"/>
      <w:sz w:val="24"/>
      <w:szCs w:val="24"/>
    </w:rPr>
  </w:style>
  <w:style w:type="character" w:styleId="PageNumber">
    <w:name w:val="page number"/>
    <w:basedOn w:val="DefaultParagraphFont"/>
    <w:uiPriority w:val="99"/>
    <w:rsid w:val="008D3C30"/>
    <w:rPr>
      <w:rFonts w:cs="Times New Roman"/>
    </w:rPr>
  </w:style>
  <w:style w:type="paragraph" w:styleId="NormalWeb">
    <w:name w:val="Normal (Web)"/>
    <w:basedOn w:val="Normal"/>
    <w:uiPriority w:val="99"/>
    <w:rsid w:val="004D3084"/>
    <w:pPr>
      <w:spacing w:before="100" w:beforeAutospacing="1" w:after="100" w:afterAutospacing="1"/>
    </w:pPr>
  </w:style>
  <w:style w:type="paragraph" w:customStyle="1" w:styleId="Default">
    <w:name w:val="Default"/>
    <w:uiPriority w:val="99"/>
    <w:rsid w:val="00DE122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E122D"/>
    <w:rPr>
      <w:color w:val="auto"/>
    </w:rPr>
  </w:style>
  <w:style w:type="paragraph" w:customStyle="1" w:styleId="CM3">
    <w:name w:val="CM3"/>
    <w:basedOn w:val="Default"/>
    <w:next w:val="Default"/>
    <w:uiPriority w:val="99"/>
    <w:rsid w:val="00DE122D"/>
    <w:rPr>
      <w:color w:val="auto"/>
    </w:rPr>
  </w:style>
  <w:style w:type="paragraph" w:styleId="Header">
    <w:name w:val="header"/>
    <w:basedOn w:val="Normal"/>
    <w:link w:val="HeaderChar"/>
    <w:uiPriority w:val="99"/>
    <w:rsid w:val="00272A93"/>
    <w:pPr>
      <w:tabs>
        <w:tab w:val="center" w:pos="4536"/>
        <w:tab w:val="right" w:pos="9072"/>
      </w:tabs>
    </w:pPr>
  </w:style>
  <w:style w:type="character" w:customStyle="1" w:styleId="HeaderChar">
    <w:name w:val="Header Char"/>
    <w:basedOn w:val="DefaultParagraphFont"/>
    <w:link w:val="Header"/>
    <w:uiPriority w:val="99"/>
    <w:semiHidden/>
    <w:locked/>
    <w:rsid w:val="00203067"/>
    <w:rPr>
      <w:rFonts w:cs="Times New Roman"/>
      <w:sz w:val="24"/>
      <w:szCs w:val="24"/>
    </w:rPr>
  </w:style>
  <w:style w:type="character" w:customStyle="1" w:styleId="googqs-tidbitgoogqs-tidbit-0">
    <w:name w:val="goog_qs-tidbit goog_qs-tidbit-0"/>
    <w:basedOn w:val="DefaultParagraphFont"/>
    <w:uiPriority w:val="99"/>
    <w:rsid w:val="00361DF3"/>
    <w:rPr>
      <w:rFonts w:cs="Times New Roman"/>
      <w:color w:val="auto"/>
    </w:rPr>
  </w:style>
  <w:style w:type="paragraph" w:customStyle="1" w:styleId="astandard3320titre">
    <w:name w:val="a_standard__33__20_titre"/>
    <w:basedOn w:val="Normal"/>
    <w:uiPriority w:val="99"/>
    <w:rsid w:val="00A672B0"/>
    <w:pPr>
      <w:spacing w:before="240" w:after="60"/>
      <w:jc w:val="center"/>
    </w:pPr>
    <w:rPr>
      <w:rFonts w:ascii="Arial" w:hAnsi="Arial" w:cs="Arial"/>
      <w:b/>
      <w:bCs/>
      <w:sz w:val="32"/>
      <w:szCs w:val="32"/>
    </w:rPr>
  </w:style>
  <w:style w:type="paragraph" w:customStyle="1" w:styleId="a3520normal">
    <w:name w:val="a___35__20_normal"/>
    <w:basedOn w:val="Normal"/>
    <w:uiPriority w:val="99"/>
    <w:rsid w:val="00A672B0"/>
    <w:pPr>
      <w:spacing w:after="120"/>
      <w:jc w:val="both"/>
    </w:pPr>
  </w:style>
  <w:style w:type="character" w:customStyle="1" w:styleId="at11">
    <w:name w:val="a__t11"/>
    <w:basedOn w:val="DefaultParagraphFont"/>
    <w:uiPriority w:val="99"/>
    <w:rsid w:val="00A672B0"/>
    <w:rPr>
      <w:rFonts w:cs="Times New Roman"/>
      <w:b/>
      <w:bCs/>
    </w:rPr>
  </w:style>
  <w:style w:type="character" w:customStyle="1" w:styleId="at21">
    <w:name w:val="a__t21"/>
    <w:basedOn w:val="DefaultParagraphFont"/>
    <w:uiPriority w:val="99"/>
    <w:rsid w:val="00A672B0"/>
    <w:rPr>
      <w:rFonts w:cs="Times New Roman"/>
      <w:i/>
      <w:iCs/>
    </w:rPr>
  </w:style>
  <w:style w:type="paragraph" w:styleId="ListParagraph">
    <w:name w:val="List Paragraph"/>
    <w:basedOn w:val="Normal"/>
    <w:uiPriority w:val="99"/>
    <w:qFormat/>
    <w:rsid w:val="00C26D16"/>
    <w:pPr>
      <w:spacing w:after="200" w:line="276" w:lineRule="auto"/>
      <w:ind w:left="720"/>
    </w:pPr>
    <w:rPr>
      <w:rFonts w:ascii="Calibri" w:hAnsi="Calibri" w:cs="Calibri"/>
      <w:sz w:val="22"/>
      <w:szCs w:val="22"/>
      <w:lang w:val="fr-BE" w:eastAsia="en-US"/>
    </w:rPr>
  </w:style>
  <w:style w:type="character" w:styleId="Emphasis">
    <w:name w:val="Emphasis"/>
    <w:basedOn w:val="DefaultParagraphFont"/>
    <w:uiPriority w:val="99"/>
    <w:qFormat/>
    <w:rsid w:val="00116E4B"/>
    <w:rPr>
      <w:rFonts w:cs="Times New Roman"/>
      <w:i/>
      <w:iCs/>
    </w:rPr>
  </w:style>
  <w:style w:type="character" w:styleId="Strong">
    <w:name w:val="Strong"/>
    <w:basedOn w:val="DefaultParagraphFont"/>
    <w:uiPriority w:val="99"/>
    <w:qFormat/>
    <w:rsid w:val="00116E4B"/>
    <w:rPr>
      <w:rFonts w:cs="Times New Roman"/>
      <w:b/>
      <w:bCs/>
    </w:rPr>
  </w:style>
  <w:style w:type="paragraph" w:customStyle="1" w:styleId="CharChar1CharChar1CharCharCharCharCharCharCharCharCharChar1">
    <w:name w:val="Char Char1 Char Char1 Char Char Char Char Char Char Char Char Char Char1"/>
    <w:basedOn w:val="Normal"/>
    <w:uiPriority w:val="99"/>
    <w:rsid w:val="005F3FEC"/>
    <w:pPr>
      <w:spacing w:after="160" w:line="240" w:lineRule="exact"/>
    </w:pPr>
    <w:rPr>
      <w:rFonts w:ascii="Tahoma" w:hAnsi="Tahoma" w:cs="Tahoma"/>
      <w:sz w:val="20"/>
      <w:szCs w:val="20"/>
      <w:lang w:val="en-US" w:eastAsia="en-US"/>
    </w:rPr>
  </w:style>
  <w:style w:type="character" w:customStyle="1" w:styleId="ft">
    <w:name w:val="ft"/>
    <w:basedOn w:val="DefaultParagraphFont"/>
    <w:uiPriority w:val="99"/>
    <w:rsid w:val="00F92DEE"/>
    <w:rPr>
      <w:rFonts w:cs="Times New Roman"/>
    </w:rPr>
  </w:style>
  <w:style w:type="paragraph" w:customStyle="1" w:styleId="ListeParagraf1">
    <w:name w:val="Liste Paragraf1"/>
    <w:basedOn w:val="Normal"/>
    <w:uiPriority w:val="99"/>
    <w:rsid w:val="00896D59"/>
    <w:pPr>
      <w:ind w:left="708"/>
    </w:pPr>
  </w:style>
  <w:style w:type="character" w:customStyle="1" w:styleId="apple-converted-space">
    <w:name w:val="apple-converted-space"/>
    <w:basedOn w:val="DefaultParagraphFont"/>
    <w:uiPriority w:val="99"/>
    <w:rsid w:val="007E63CF"/>
    <w:rPr>
      <w:rFonts w:cs="Times New Roman"/>
    </w:rPr>
  </w:style>
  <w:style w:type="character" w:customStyle="1" w:styleId="st1">
    <w:name w:val="st1"/>
    <w:basedOn w:val="DefaultParagraphFont"/>
    <w:uiPriority w:val="99"/>
    <w:rsid w:val="00224A76"/>
    <w:rPr>
      <w:rFonts w:cs="Times New Roman"/>
    </w:rPr>
  </w:style>
  <w:style w:type="paragraph" w:styleId="BodyText3">
    <w:name w:val="Body Text 3"/>
    <w:basedOn w:val="Normal"/>
    <w:link w:val="BodyText3Char"/>
    <w:uiPriority w:val="99"/>
    <w:rsid w:val="003B3020"/>
    <w:pPr>
      <w:jc w:val="both"/>
    </w:pPr>
    <w:rPr>
      <w:rFonts w:ascii="Tahoma" w:hAnsi="Tahoma" w:cs="Tahoma"/>
      <w:b/>
      <w:bCs/>
      <w:sz w:val="22"/>
      <w:szCs w:val="22"/>
      <w:lang w:val="en-US" w:eastAsia="en-US"/>
    </w:rPr>
  </w:style>
  <w:style w:type="character" w:customStyle="1" w:styleId="BodyText3Char">
    <w:name w:val="Body Text 3 Char"/>
    <w:basedOn w:val="DefaultParagraphFont"/>
    <w:link w:val="BodyText3"/>
    <w:uiPriority w:val="99"/>
    <w:semiHidden/>
    <w:locked/>
    <w:rsid w:val="00625606"/>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934508006">
      <w:marLeft w:val="0"/>
      <w:marRight w:val="0"/>
      <w:marTop w:val="0"/>
      <w:marBottom w:val="0"/>
      <w:divBdr>
        <w:top w:val="none" w:sz="0" w:space="0" w:color="auto"/>
        <w:left w:val="none" w:sz="0" w:space="0" w:color="auto"/>
        <w:bottom w:val="none" w:sz="0" w:space="0" w:color="auto"/>
        <w:right w:val="none" w:sz="0" w:space="0" w:color="auto"/>
      </w:divBdr>
      <w:divsChild>
        <w:div w:id="1934508003">
          <w:marLeft w:val="0"/>
          <w:marRight w:val="0"/>
          <w:marTop w:val="0"/>
          <w:marBottom w:val="0"/>
          <w:divBdr>
            <w:top w:val="none" w:sz="0" w:space="0" w:color="auto"/>
            <w:left w:val="none" w:sz="0" w:space="0" w:color="auto"/>
            <w:bottom w:val="none" w:sz="0" w:space="0" w:color="auto"/>
            <w:right w:val="none" w:sz="0" w:space="0" w:color="auto"/>
          </w:divBdr>
          <w:divsChild>
            <w:div w:id="1934508034">
              <w:marLeft w:val="0"/>
              <w:marRight w:val="0"/>
              <w:marTop w:val="0"/>
              <w:marBottom w:val="0"/>
              <w:divBdr>
                <w:top w:val="none" w:sz="0" w:space="0" w:color="auto"/>
                <w:left w:val="none" w:sz="0" w:space="0" w:color="auto"/>
                <w:bottom w:val="none" w:sz="0" w:space="0" w:color="auto"/>
                <w:right w:val="none" w:sz="0" w:space="0" w:color="auto"/>
              </w:divBdr>
              <w:divsChild>
                <w:div w:id="1934508049">
                  <w:marLeft w:val="0"/>
                  <w:marRight w:val="0"/>
                  <w:marTop w:val="0"/>
                  <w:marBottom w:val="0"/>
                  <w:divBdr>
                    <w:top w:val="none" w:sz="0" w:space="0" w:color="auto"/>
                    <w:left w:val="none" w:sz="0" w:space="0" w:color="auto"/>
                    <w:bottom w:val="none" w:sz="0" w:space="0" w:color="auto"/>
                    <w:right w:val="none" w:sz="0" w:space="0" w:color="auto"/>
                  </w:divBdr>
                  <w:divsChild>
                    <w:div w:id="1934508056">
                      <w:marLeft w:val="0"/>
                      <w:marRight w:val="0"/>
                      <w:marTop w:val="0"/>
                      <w:marBottom w:val="0"/>
                      <w:divBdr>
                        <w:top w:val="none" w:sz="0" w:space="0" w:color="auto"/>
                        <w:left w:val="none" w:sz="0" w:space="0" w:color="auto"/>
                        <w:bottom w:val="none" w:sz="0" w:space="0" w:color="auto"/>
                        <w:right w:val="none" w:sz="0" w:space="0" w:color="auto"/>
                      </w:divBdr>
                      <w:divsChild>
                        <w:div w:id="1934508012">
                          <w:marLeft w:val="0"/>
                          <w:marRight w:val="0"/>
                          <w:marTop w:val="0"/>
                          <w:marBottom w:val="0"/>
                          <w:divBdr>
                            <w:top w:val="none" w:sz="0" w:space="0" w:color="auto"/>
                            <w:left w:val="none" w:sz="0" w:space="0" w:color="auto"/>
                            <w:bottom w:val="none" w:sz="0" w:space="0" w:color="auto"/>
                            <w:right w:val="none" w:sz="0" w:space="0" w:color="auto"/>
                          </w:divBdr>
                          <w:divsChild>
                            <w:div w:id="1934508022">
                              <w:marLeft w:val="0"/>
                              <w:marRight w:val="0"/>
                              <w:marTop w:val="0"/>
                              <w:marBottom w:val="0"/>
                              <w:divBdr>
                                <w:top w:val="none" w:sz="0" w:space="0" w:color="auto"/>
                                <w:left w:val="none" w:sz="0" w:space="0" w:color="auto"/>
                                <w:bottom w:val="none" w:sz="0" w:space="0" w:color="auto"/>
                                <w:right w:val="none" w:sz="0" w:space="0" w:color="auto"/>
                              </w:divBdr>
                            </w:div>
                            <w:div w:id="1934508025">
                              <w:marLeft w:val="0"/>
                              <w:marRight w:val="0"/>
                              <w:marTop w:val="240"/>
                              <w:marBottom w:val="0"/>
                              <w:divBdr>
                                <w:top w:val="none" w:sz="0" w:space="0" w:color="auto"/>
                                <w:left w:val="none" w:sz="0" w:space="0" w:color="auto"/>
                                <w:bottom w:val="none" w:sz="0" w:space="0" w:color="auto"/>
                                <w:right w:val="none" w:sz="0" w:space="0" w:color="auto"/>
                              </w:divBdr>
                            </w:div>
                            <w:div w:id="1934508031">
                              <w:marLeft w:val="0"/>
                              <w:marRight w:val="0"/>
                              <w:marTop w:val="160"/>
                              <w:marBottom w:val="0"/>
                              <w:divBdr>
                                <w:top w:val="none" w:sz="0" w:space="0" w:color="auto"/>
                                <w:left w:val="none" w:sz="0" w:space="0" w:color="auto"/>
                                <w:bottom w:val="none" w:sz="0" w:space="0" w:color="auto"/>
                                <w:right w:val="none" w:sz="0" w:space="0" w:color="auto"/>
                              </w:divBdr>
                              <w:divsChild>
                                <w:div w:id="1934508019">
                                  <w:marLeft w:val="0"/>
                                  <w:marRight w:val="240"/>
                                  <w:marTop w:val="0"/>
                                  <w:marBottom w:val="0"/>
                                  <w:divBdr>
                                    <w:top w:val="none" w:sz="0" w:space="0" w:color="auto"/>
                                    <w:left w:val="none" w:sz="0" w:space="0" w:color="auto"/>
                                    <w:bottom w:val="none" w:sz="0" w:space="0" w:color="auto"/>
                                    <w:right w:val="none" w:sz="0" w:space="0" w:color="auto"/>
                                  </w:divBdr>
                                </w:div>
                                <w:div w:id="1934508050">
                                  <w:marLeft w:val="0"/>
                                  <w:marRight w:val="240"/>
                                  <w:marTop w:val="0"/>
                                  <w:marBottom w:val="0"/>
                                  <w:divBdr>
                                    <w:top w:val="none" w:sz="0" w:space="0" w:color="auto"/>
                                    <w:left w:val="none" w:sz="0" w:space="0" w:color="auto"/>
                                    <w:bottom w:val="none" w:sz="0" w:space="0" w:color="auto"/>
                                    <w:right w:val="none" w:sz="0" w:space="0" w:color="auto"/>
                                  </w:divBdr>
                                </w:div>
                              </w:divsChild>
                            </w:div>
                            <w:div w:id="1934508032">
                              <w:marLeft w:val="0"/>
                              <w:marRight w:val="0"/>
                              <w:marTop w:val="480"/>
                              <w:marBottom w:val="0"/>
                              <w:divBdr>
                                <w:top w:val="none" w:sz="0" w:space="0" w:color="auto"/>
                                <w:left w:val="none" w:sz="0" w:space="0" w:color="auto"/>
                                <w:bottom w:val="none" w:sz="0" w:space="0" w:color="auto"/>
                                <w:right w:val="none" w:sz="0" w:space="0" w:color="auto"/>
                              </w:divBdr>
                            </w:div>
                            <w:div w:id="1934508041">
                              <w:marLeft w:val="0"/>
                              <w:marRight w:val="0"/>
                              <w:marTop w:val="0"/>
                              <w:marBottom w:val="0"/>
                              <w:divBdr>
                                <w:top w:val="none" w:sz="0" w:space="0" w:color="auto"/>
                                <w:left w:val="none" w:sz="0" w:space="0" w:color="auto"/>
                                <w:bottom w:val="none" w:sz="0" w:space="0" w:color="auto"/>
                                <w:right w:val="none" w:sz="0" w:space="0" w:color="auto"/>
                              </w:divBdr>
                              <w:divsChild>
                                <w:div w:id="1934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8013">
      <w:marLeft w:val="0"/>
      <w:marRight w:val="0"/>
      <w:marTop w:val="0"/>
      <w:marBottom w:val="0"/>
      <w:divBdr>
        <w:top w:val="none" w:sz="0" w:space="0" w:color="auto"/>
        <w:left w:val="none" w:sz="0" w:space="0" w:color="auto"/>
        <w:bottom w:val="none" w:sz="0" w:space="0" w:color="auto"/>
        <w:right w:val="none" w:sz="0" w:space="0" w:color="auto"/>
      </w:divBdr>
    </w:div>
    <w:div w:id="1934508018">
      <w:marLeft w:val="0"/>
      <w:marRight w:val="0"/>
      <w:marTop w:val="0"/>
      <w:marBottom w:val="0"/>
      <w:divBdr>
        <w:top w:val="none" w:sz="0" w:space="0" w:color="auto"/>
        <w:left w:val="none" w:sz="0" w:space="0" w:color="auto"/>
        <w:bottom w:val="none" w:sz="0" w:space="0" w:color="auto"/>
        <w:right w:val="none" w:sz="0" w:space="0" w:color="auto"/>
      </w:divBdr>
      <w:divsChild>
        <w:div w:id="1934508027">
          <w:marLeft w:val="0"/>
          <w:marRight w:val="0"/>
          <w:marTop w:val="0"/>
          <w:marBottom w:val="0"/>
          <w:divBdr>
            <w:top w:val="none" w:sz="0" w:space="0" w:color="auto"/>
            <w:left w:val="none" w:sz="0" w:space="0" w:color="auto"/>
            <w:bottom w:val="none" w:sz="0" w:space="0" w:color="auto"/>
            <w:right w:val="none" w:sz="0" w:space="0" w:color="auto"/>
          </w:divBdr>
          <w:divsChild>
            <w:div w:id="1934508004">
              <w:marLeft w:val="0"/>
              <w:marRight w:val="0"/>
              <w:marTop w:val="0"/>
              <w:marBottom w:val="0"/>
              <w:divBdr>
                <w:top w:val="none" w:sz="0" w:space="0" w:color="auto"/>
                <w:left w:val="none" w:sz="0" w:space="0" w:color="auto"/>
                <w:bottom w:val="none" w:sz="0" w:space="0" w:color="auto"/>
                <w:right w:val="none" w:sz="0" w:space="0" w:color="auto"/>
              </w:divBdr>
              <w:divsChild>
                <w:div w:id="1934508052">
                  <w:marLeft w:val="0"/>
                  <w:marRight w:val="0"/>
                  <w:marTop w:val="0"/>
                  <w:marBottom w:val="0"/>
                  <w:divBdr>
                    <w:top w:val="none" w:sz="0" w:space="0" w:color="auto"/>
                    <w:left w:val="none" w:sz="0" w:space="0" w:color="auto"/>
                    <w:bottom w:val="none" w:sz="0" w:space="0" w:color="auto"/>
                    <w:right w:val="none" w:sz="0" w:space="0" w:color="auto"/>
                  </w:divBdr>
                  <w:divsChild>
                    <w:div w:id="1934508008">
                      <w:marLeft w:val="0"/>
                      <w:marRight w:val="0"/>
                      <w:marTop w:val="0"/>
                      <w:marBottom w:val="0"/>
                      <w:divBdr>
                        <w:top w:val="none" w:sz="0" w:space="0" w:color="auto"/>
                        <w:left w:val="none" w:sz="0" w:space="0" w:color="auto"/>
                        <w:bottom w:val="none" w:sz="0" w:space="0" w:color="auto"/>
                        <w:right w:val="none" w:sz="0" w:space="0" w:color="auto"/>
                      </w:divBdr>
                      <w:divsChild>
                        <w:div w:id="1934508042">
                          <w:marLeft w:val="0"/>
                          <w:marRight w:val="0"/>
                          <w:marTop w:val="0"/>
                          <w:marBottom w:val="0"/>
                          <w:divBdr>
                            <w:top w:val="none" w:sz="0" w:space="0" w:color="auto"/>
                            <w:left w:val="none" w:sz="0" w:space="0" w:color="auto"/>
                            <w:bottom w:val="none" w:sz="0" w:space="0" w:color="auto"/>
                            <w:right w:val="none" w:sz="0" w:space="0" w:color="auto"/>
                          </w:divBdr>
                          <w:divsChild>
                            <w:div w:id="1934508020">
                              <w:marLeft w:val="0"/>
                              <w:marRight w:val="0"/>
                              <w:marTop w:val="0"/>
                              <w:marBottom w:val="0"/>
                              <w:divBdr>
                                <w:top w:val="none" w:sz="0" w:space="0" w:color="auto"/>
                                <w:left w:val="none" w:sz="0" w:space="0" w:color="auto"/>
                                <w:bottom w:val="none" w:sz="0" w:space="0" w:color="auto"/>
                                <w:right w:val="none" w:sz="0" w:space="0" w:color="auto"/>
                              </w:divBdr>
                              <w:divsChild>
                                <w:div w:id="19345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8036">
      <w:marLeft w:val="0"/>
      <w:marRight w:val="0"/>
      <w:marTop w:val="0"/>
      <w:marBottom w:val="0"/>
      <w:divBdr>
        <w:top w:val="none" w:sz="0" w:space="0" w:color="auto"/>
        <w:left w:val="none" w:sz="0" w:space="0" w:color="auto"/>
        <w:bottom w:val="none" w:sz="0" w:space="0" w:color="auto"/>
        <w:right w:val="none" w:sz="0" w:space="0" w:color="auto"/>
      </w:divBdr>
      <w:divsChild>
        <w:div w:id="1934508026">
          <w:marLeft w:val="0"/>
          <w:marRight w:val="0"/>
          <w:marTop w:val="0"/>
          <w:marBottom w:val="0"/>
          <w:divBdr>
            <w:top w:val="none" w:sz="0" w:space="0" w:color="auto"/>
            <w:left w:val="none" w:sz="0" w:space="0" w:color="auto"/>
            <w:bottom w:val="none" w:sz="0" w:space="0" w:color="auto"/>
            <w:right w:val="none" w:sz="0" w:space="0" w:color="auto"/>
          </w:divBdr>
          <w:divsChild>
            <w:div w:id="1934508040">
              <w:marLeft w:val="0"/>
              <w:marRight w:val="0"/>
              <w:marTop w:val="0"/>
              <w:marBottom w:val="0"/>
              <w:divBdr>
                <w:top w:val="none" w:sz="0" w:space="0" w:color="auto"/>
                <w:left w:val="none" w:sz="0" w:space="0" w:color="auto"/>
                <w:bottom w:val="none" w:sz="0" w:space="0" w:color="auto"/>
                <w:right w:val="none" w:sz="0" w:space="0" w:color="auto"/>
              </w:divBdr>
              <w:divsChild>
                <w:div w:id="1934508009">
                  <w:marLeft w:val="0"/>
                  <w:marRight w:val="0"/>
                  <w:marTop w:val="130"/>
                  <w:marBottom w:val="0"/>
                  <w:divBdr>
                    <w:top w:val="none" w:sz="0" w:space="0" w:color="auto"/>
                    <w:left w:val="none" w:sz="0" w:space="0" w:color="auto"/>
                    <w:bottom w:val="none" w:sz="0" w:space="0" w:color="auto"/>
                    <w:right w:val="none" w:sz="0" w:space="0" w:color="auto"/>
                  </w:divBdr>
                  <w:divsChild>
                    <w:div w:id="1934508039">
                      <w:marLeft w:val="0"/>
                      <w:marRight w:val="0"/>
                      <w:marTop w:val="0"/>
                      <w:marBottom w:val="0"/>
                      <w:divBdr>
                        <w:top w:val="none" w:sz="0" w:space="0" w:color="auto"/>
                        <w:left w:val="none" w:sz="0" w:space="0" w:color="auto"/>
                        <w:bottom w:val="none" w:sz="0" w:space="0" w:color="auto"/>
                        <w:right w:val="none" w:sz="0" w:space="0" w:color="auto"/>
                      </w:divBdr>
                      <w:divsChild>
                        <w:div w:id="1934508015">
                          <w:marLeft w:val="0"/>
                          <w:marRight w:val="0"/>
                          <w:marTop w:val="0"/>
                          <w:marBottom w:val="0"/>
                          <w:divBdr>
                            <w:top w:val="single" w:sz="4" w:space="5" w:color="A2BCD2"/>
                            <w:left w:val="single" w:sz="4" w:space="7" w:color="A2BCD2"/>
                            <w:bottom w:val="single" w:sz="4" w:space="5" w:color="A2BCD2"/>
                            <w:right w:val="single" w:sz="4" w:space="7" w:color="A2BCD2"/>
                          </w:divBdr>
                          <w:divsChild>
                            <w:div w:id="1934508055">
                              <w:marLeft w:val="0"/>
                              <w:marRight w:val="0"/>
                              <w:marTop w:val="0"/>
                              <w:marBottom w:val="0"/>
                              <w:divBdr>
                                <w:top w:val="none" w:sz="0" w:space="0" w:color="auto"/>
                                <w:left w:val="none" w:sz="0" w:space="0" w:color="auto"/>
                                <w:bottom w:val="none" w:sz="0" w:space="0" w:color="auto"/>
                                <w:right w:val="none" w:sz="0" w:space="0" w:color="auto"/>
                              </w:divBdr>
                              <w:divsChild>
                                <w:div w:id="19345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8037">
      <w:marLeft w:val="0"/>
      <w:marRight w:val="0"/>
      <w:marTop w:val="0"/>
      <w:marBottom w:val="0"/>
      <w:divBdr>
        <w:top w:val="none" w:sz="0" w:space="0" w:color="auto"/>
        <w:left w:val="none" w:sz="0" w:space="0" w:color="auto"/>
        <w:bottom w:val="none" w:sz="0" w:space="0" w:color="auto"/>
        <w:right w:val="none" w:sz="0" w:space="0" w:color="auto"/>
      </w:divBdr>
      <w:divsChild>
        <w:div w:id="1934508011">
          <w:marLeft w:val="0"/>
          <w:marRight w:val="0"/>
          <w:marTop w:val="0"/>
          <w:marBottom w:val="0"/>
          <w:divBdr>
            <w:top w:val="none" w:sz="0" w:space="0" w:color="auto"/>
            <w:left w:val="none" w:sz="0" w:space="0" w:color="auto"/>
            <w:bottom w:val="none" w:sz="0" w:space="0" w:color="auto"/>
            <w:right w:val="none" w:sz="0" w:space="0" w:color="auto"/>
          </w:divBdr>
          <w:divsChild>
            <w:div w:id="1934508014">
              <w:marLeft w:val="0"/>
              <w:marRight w:val="0"/>
              <w:marTop w:val="0"/>
              <w:marBottom w:val="0"/>
              <w:divBdr>
                <w:top w:val="none" w:sz="0" w:space="0" w:color="auto"/>
                <w:left w:val="none" w:sz="0" w:space="0" w:color="auto"/>
                <w:bottom w:val="none" w:sz="0" w:space="0" w:color="auto"/>
                <w:right w:val="none" w:sz="0" w:space="0" w:color="auto"/>
              </w:divBdr>
              <w:divsChild>
                <w:div w:id="1934508002">
                  <w:marLeft w:val="0"/>
                  <w:marRight w:val="0"/>
                  <w:marTop w:val="0"/>
                  <w:marBottom w:val="0"/>
                  <w:divBdr>
                    <w:top w:val="none" w:sz="0" w:space="0" w:color="auto"/>
                    <w:left w:val="none" w:sz="0" w:space="0" w:color="auto"/>
                    <w:bottom w:val="none" w:sz="0" w:space="0" w:color="auto"/>
                    <w:right w:val="none" w:sz="0" w:space="0" w:color="auto"/>
                  </w:divBdr>
                  <w:divsChild>
                    <w:div w:id="1934508028">
                      <w:marLeft w:val="0"/>
                      <w:marRight w:val="0"/>
                      <w:marTop w:val="0"/>
                      <w:marBottom w:val="0"/>
                      <w:divBdr>
                        <w:top w:val="none" w:sz="0" w:space="0" w:color="auto"/>
                        <w:left w:val="none" w:sz="0" w:space="0" w:color="auto"/>
                        <w:bottom w:val="none" w:sz="0" w:space="0" w:color="auto"/>
                        <w:right w:val="none" w:sz="0" w:space="0" w:color="auto"/>
                      </w:divBdr>
                      <w:divsChild>
                        <w:div w:id="1934508044">
                          <w:marLeft w:val="0"/>
                          <w:marRight w:val="0"/>
                          <w:marTop w:val="0"/>
                          <w:marBottom w:val="0"/>
                          <w:divBdr>
                            <w:top w:val="none" w:sz="0" w:space="0" w:color="auto"/>
                            <w:left w:val="none" w:sz="0" w:space="0" w:color="auto"/>
                            <w:bottom w:val="none" w:sz="0" w:space="0" w:color="auto"/>
                            <w:right w:val="none" w:sz="0" w:space="0" w:color="auto"/>
                          </w:divBdr>
                          <w:divsChild>
                            <w:div w:id="1934508033">
                              <w:marLeft w:val="0"/>
                              <w:marRight w:val="0"/>
                              <w:marTop w:val="0"/>
                              <w:marBottom w:val="0"/>
                              <w:divBdr>
                                <w:top w:val="none" w:sz="0" w:space="0" w:color="auto"/>
                                <w:left w:val="none" w:sz="0" w:space="0" w:color="auto"/>
                                <w:bottom w:val="none" w:sz="0" w:space="0" w:color="auto"/>
                                <w:right w:val="none" w:sz="0" w:space="0" w:color="auto"/>
                              </w:divBdr>
                              <w:divsChild>
                                <w:div w:id="19345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8043">
      <w:marLeft w:val="0"/>
      <w:marRight w:val="0"/>
      <w:marTop w:val="0"/>
      <w:marBottom w:val="0"/>
      <w:divBdr>
        <w:top w:val="none" w:sz="0" w:space="0" w:color="auto"/>
        <w:left w:val="none" w:sz="0" w:space="0" w:color="auto"/>
        <w:bottom w:val="none" w:sz="0" w:space="0" w:color="auto"/>
        <w:right w:val="none" w:sz="0" w:space="0" w:color="auto"/>
      </w:divBdr>
      <w:divsChild>
        <w:div w:id="1934508030">
          <w:marLeft w:val="0"/>
          <w:marRight w:val="0"/>
          <w:marTop w:val="0"/>
          <w:marBottom w:val="0"/>
          <w:divBdr>
            <w:top w:val="none" w:sz="0" w:space="0" w:color="auto"/>
            <w:left w:val="single" w:sz="8" w:space="0" w:color="003399"/>
            <w:bottom w:val="none" w:sz="0" w:space="0" w:color="auto"/>
            <w:right w:val="single" w:sz="8" w:space="0" w:color="003399"/>
          </w:divBdr>
          <w:divsChild>
            <w:div w:id="1934508016">
              <w:marLeft w:val="0"/>
              <w:marRight w:val="0"/>
              <w:marTop w:val="30"/>
              <w:marBottom w:val="0"/>
              <w:divBdr>
                <w:top w:val="none" w:sz="0" w:space="0" w:color="auto"/>
                <w:left w:val="none" w:sz="0" w:space="0" w:color="auto"/>
                <w:bottom w:val="none" w:sz="0" w:space="0" w:color="auto"/>
                <w:right w:val="none" w:sz="0" w:space="0" w:color="auto"/>
              </w:divBdr>
              <w:divsChild>
                <w:div w:id="1934508035">
                  <w:marLeft w:val="0"/>
                  <w:marRight w:val="0"/>
                  <w:marTop w:val="0"/>
                  <w:marBottom w:val="0"/>
                  <w:divBdr>
                    <w:top w:val="none" w:sz="0" w:space="0" w:color="auto"/>
                    <w:left w:val="none" w:sz="0" w:space="0" w:color="auto"/>
                    <w:bottom w:val="none" w:sz="0" w:space="0" w:color="auto"/>
                    <w:right w:val="none" w:sz="0" w:space="0" w:color="auto"/>
                  </w:divBdr>
                  <w:divsChild>
                    <w:div w:id="1934508029">
                      <w:marLeft w:val="0"/>
                      <w:marRight w:val="0"/>
                      <w:marTop w:val="0"/>
                      <w:marBottom w:val="0"/>
                      <w:divBdr>
                        <w:top w:val="none" w:sz="0" w:space="0" w:color="auto"/>
                        <w:left w:val="none" w:sz="0" w:space="0" w:color="auto"/>
                        <w:bottom w:val="none" w:sz="0" w:space="0" w:color="auto"/>
                        <w:right w:val="none" w:sz="0" w:space="0" w:color="auto"/>
                      </w:divBdr>
                      <w:divsChild>
                        <w:div w:id="1934508007">
                          <w:marLeft w:val="80"/>
                          <w:marRight w:val="80"/>
                          <w:marTop w:val="0"/>
                          <w:marBottom w:val="80"/>
                          <w:divBdr>
                            <w:top w:val="none" w:sz="0" w:space="0" w:color="auto"/>
                            <w:left w:val="none" w:sz="0" w:space="0" w:color="auto"/>
                            <w:bottom w:val="none" w:sz="0" w:space="0" w:color="auto"/>
                            <w:right w:val="none" w:sz="0" w:space="0" w:color="auto"/>
                          </w:divBdr>
                          <w:divsChild>
                            <w:div w:id="1934508051">
                              <w:marLeft w:val="200"/>
                              <w:marRight w:val="200"/>
                              <w:marTop w:val="0"/>
                              <w:marBottom w:val="0"/>
                              <w:divBdr>
                                <w:top w:val="none" w:sz="0" w:space="0" w:color="auto"/>
                                <w:left w:val="none" w:sz="0" w:space="0" w:color="auto"/>
                                <w:bottom w:val="none" w:sz="0" w:space="0" w:color="auto"/>
                                <w:right w:val="none" w:sz="0" w:space="0" w:color="auto"/>
                              </w:divBdr>
                              <w:divsChild>
                                <w:div w:id="19345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8048">
      <w:marLeft w:val="0"/>
      <w:marRight w:val="0"/>
      <w:marTop w:val="0"/>
      <w:marBottom w:val="0"/>
      <w:divBdr>
        <w:top w:val="none" w:sz="0" w:space="0" w:color="auto"/>
        <w:left w:val="none" w:sz="0" w:space="0" w:color="auto"/>
        <w:bottom w:val="none" w:sz="0" w:space="0" w:color="auto"/>
        <w:right w:val="none" w:sz="0" w:space="0" w:color="auto"/>
      </w:divBdr>
      <w:divsChild>
        <w:div w:id="1934508054">
          <w:marLeft w:val="0"/>
          <w:marRight w:val="0"/>
          <w:marTop w:val="0"/>
          <w:marBottom w:val="0"/>
          <w:divBdr>
            <w:top w:val="none" w:sz="0" w:space="0" w:color="auto"/>
            <w:left w:val="none" w:sz="0" w:space="0" w:color="auto"/>
            <w:bottom w:val="none" w:sz="0" w:space="0" w:color="auto"/>
            <w:right w:val="none" w:sz="0" w:space="0" w:color="auto"/>
          </w:divBdr>
          <w:divsChild>
            <w:div w:id="1934508047">
              <w:marLeft w:val="0"/>
              <w:marRight w:val="0"/>
              <w:marTop w:val="0"/>
              <w:marBottom w:val="0"/>
              <w:divBdr>
                <w:top w:val="none" w:sz="0" w:space="0" w:color="auto"/>
                <w:left w:val="none" w:sz="0" w:space="0" w:color="auto"/>
                <w:bottom w:val="none" w:sz="0" w:space="0" w:color="auto"/>
                <w:right w:val="none" w:sz="0" w:space="0" w:color="auto"/>
              </w:divBdr>
              <w:divsChild>
                <w:div w:id="1934508005">
                  <w:marLeft w:val="0"/>
                  <w:marRight w:val="0"/>
                  <w:marTop w:val="130"/>
                  <w:marBottom w:val="0"/>
                  <w:divBdr>
                    <w:top w:val="none" w:sz="0" w:space="0" w:color="auto"/>
                    <w:left w:val="none" w:sz="0" w:space="0" w:color="auto"/>
                    <w:bottom w:val="none" w:sz="0" w:space="0" w:color="auto"/>
                    <w:right w:val="none" w:sz="0" w:space="0" w:color="auto"/>
                  </w:divBdr>
                  <w:divsChild>
                    <w:div w:id="1934508038">
                      <w:marLeft w:val="0"/>
                      <w:marRight w:val="0"/>
                      <w:marTop w:val="0"/>
                      <w:marBottom w:val="0"/>
                      <w:divBdr>
                        <w:top w:val="none" w:sz="0" w:space="0" w:color="auto"/>
                        <w:left w:val="none" w:sz="0" w:space="0" w:color="auto"/>
                        <w:bottom w:val="none" w:sz="0" w:space="0" w:color="auto"/>
                        <w:right w:val="none" w:sz="0" w:space="0" w:color="auto"/>
                      </w:divBdr>
                      <w:divsChild>
                        <w:div w:id="1934508023">
                          <w:marLeft w:val="0"/>
                          <w:marRight w:val="0"/>
                          <w:marTop w:val="0"/>
                          <w:marBottom w:val="0"/>
                          <w:divBdr>
                            <w:top w:val="single" w:sz="4" w:space="5" w:color="A2BCD2"/>
                            <w:left w:val="single" w:sz="4" w:space="7" w:color="A2BCD2"/>
                            <w:bottom w:val="single" w:sz="4" w:space="5" w:color="A2BCD2"/>
                            <w:right w:val="single" w:sz="4" w:space="7" w:color="A2BCD2"/>
                          </w:divBdr>
                          <w:divsChild>
                            <w:div w:id="1934508053">
                              <w:marLeft w:val="0"/>
                              <w:marRight w:val="0"/>
                              <w:marTop w:val="0"/>
                              <w:marBottom w:val="0"/>
                              <w:divBdr>
                                <w:top w:val="none" w:sz="0" w:space="0" w:color="auto"/>
                                <w:left w:val="none" w:sz="0" w:space="0" w:color="auto"/>
                                <w:bottom w:val="none" w:sz="0" w:space="0" w:color="auto"/>
                                <w:right w:val="none" w:sz="0" w:space="0" w:color="auto"/>
                              </w:divBdr>
                              <w:divsChild>
                                <w:div w:id="1934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8057">
      <w:marLeft w:val="0"/>
      <w:marRight w:val="0"/>
      <w:marTop w:val="0"/>
      <w:marBottom w:val="0"/>
      <w:divBdr>
        <w:top w:val="none" w:sz="0" w:space="0" w:color="auto"/>
        <w:left w:val="none" w:sz="0" w:space="0" w:color="auto"/>
        <w:bottom w:val="none" w:sz="0" w:space="0" w:color="auto"/>
        <w:right w:val="none" w:sz="0" w:space="0" w:color="auto"/>
      </w:divBdr>
    </w:div>
    <w:div w:id="1934508058">
      <w:marLeft w:val="0"/>
      <w:marRight w:val="0"/>
      <w:marTop w:val="0"/>
      <w:marBottom w:val="0"/>
      <w:divBdr>
        <w:top w:val="none" w:sz="0" w:space="0" w:color="auto"/>
        <w:left w:val="none" w:sz="0" w:space="0" w:color="auto"/>
        <w:bottom w:val="none" w:sz="0" w:space="0" w:color="auto"/>
        <w:right w:val="none" w:sz="0" w:space="0" w:color="auto"/>
      </w:divBdr>
    </w:div>
    <w:div w:id="193450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gs.gov.tr/index.php?p=67&amp;l=1" TargetMode="External"/><Relationship Id="rId13" Type="http://schemas.openxmlformats.org/officeDocument/2006/relationships/hyperlink" Target="http://www.abgs.gov.tr/index.php?p=72&amp;l=1" TargetMode="External"/><Relationship Id="rId18" Type="http://schemas.openxmlformats.org/officeDocument/2006/relationships/hyperlink" Target="http://www.abgs.gov.tr/index.php?p=77&amp;l=1" TargetMode="External"/><Relationship Id="rId26" Type="http://schemas.openxmlformats.org/officeDocument/2006/relationships/hyperlink" Target="http://www.abgs.gov.tr/index.php?p=85&amp;l=1" TargetMode="External"/><Relationship Id="rId39" Type="http://schemas.openxmlformats.org/officeDocument/2006/relationships/hyperlink" Target="http://www.abgs.gov.tr/index.php?p=98&amp;l=1" TargetMode="External"/><Relationship Id="rId3" Type="http://schemas.openxmlformats.org/officeDocument/2006/relationships/settings" Target="settings.xml"/><Relationship Id="rId21" Type="http://schemas.openxmlformats.org/officeDocument/2006/relationships/hyperlink" Target="http://www.abgs.gov.tr/index.php?p=80&amp;l=1" TargetMode="External"/><Relationship Id="rId34" Type="http://schemas.openxmlformats.org/officeDocument/2006/relationships/hyperlink" Target="http://www.abgs.gov.tr/index.php?p=93&amp;l=1" TargetMode="External"/><Relationship Id="rId42" Type="http://schemas.openxmlformats.org/officeDocument/2006/relationships/footer" Target="footer2.xml"/><Relationship Id="rId7" Type="http://schemas.openxmlformats.org/officeDocument/2006/relationships/hyperlink" Target="http://www.abgs.gov.tr/index.php?p=66&amp;l=1" TargetMode="External"/><Relationship Id="rId12" Type="http://schemas.openxmlformats.org/officeDocument/2006/relationships/hyperlink" Target="http://www.abgs.gov.tr/index.php?p=71&amp;l=1" TargetMode="External"/><Relationship Id="rId17" Type="http://schemas.openxmlformats.org/officeDocument/2006/relationships/hyperlink" Target="http://www.abgs.gov.tr/index.php?p=76&amp;l=1" TargetMode="External"/><Relationship Id="rId25" Type="http://schemas.openxmlformats.org/officeDocument/2006/relationships/hyperlink" Target="http://www.abgs.gov.tr/index.php?p=84&amp;l=1" TargetMode="External"/><Relationship Id="rId33" Type="http://schemas.openxmlformats.org/officeDocument/2006/relationships/hyperlink" Target="http://www.abgs.gov.tr/index.php?p=92&amp;l=1" TargetMode="External"/><Relationship Id="rId38" Type="http://schemas.openxmlformats.org/officeDocument/2006/relationships/hyperlink" Target="http://www.abgs.gov.tr/index.php?p=97&amp;l=1" TargetMode="External"/><Relationship Id="rId2" Type="http://schemas.openxmlformats.org/officeDocument/2006/relationships/styles" Target="styles.xml"/><Relationship Id="rId16" Type="http://schemas.openxmlformats.org/officeDocument/2006/relationships/hyperlink" Target="http://www.abgs.gov.tr/index.php?p=75&amp;l=1" TargetMode="External"/><Relationship Id="rId20" Type="http://schemas.openxmlformats.org/officeDocument/2006/relationships/hyperlink" Target="http://www.abgs.gov.tr/index.php?p=79&amp;l=1" TargetMode="External"/><Relationship Id="rId29" Type="http://schemas.openxmlformats.org/officeDocument/2006/relationships/hyperlink" Target="http://www.abgs.gov.tr/index.php?p=88&amp;l=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gs.gov.tr/index.php?p=70&amp;l=1" TargetMode="External"/><Relationship Id="rId24" Type="http://schemas.openxmlformats.org/officeDocument/2006/relationships/hyperlink" Target="http://www.abgs.gov.tr/index.php?p=83&amp;l=1" TargetMode="External"/><Relationship Id="rId32" Type="http://schemas.openxmlformats.org/officeDocument/2006/relationships/hyperlink" Target="http://www.abgs.gov.tr/index.php?p=91&amp;l=1" TargetMode="External"/><Relationship Id="rId37" Type="http://schemas.openxmlformats.org/officeDocument/2006/relationships/hyperlink" Target="http://www.abgs.gov.tr/index.php?p=96&amp;l=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bgs.gov.tr/index.php?p=74&amp;l=1" TargetMode="External"/><Relationship Id="rId23" Type="http://schemas.openxmlformats.org/officeDocument/2006/relationships/hyperlink" Target="http://www.abgs.gov.tr/index.php?p=82&amp;l=1" TargetMode="External"/><Relationship Id="rId28" Type="http://schemas.openxmlformats.org/officeDocument/2006/relationships/hyperlink" Target="http://www.abgs.gov.tr/index.php?p=87&amp;l=1" TargetMode="External"/><Relationship Id="rId36" Type="http://schemas.openxmlformats.org/officeDocument/2006/relationships/hyperlink" Target="http://www.abgs.gov.tr/index.php?p=95&amp;l=1" TargetMode="External"/><Relationship Id="rId10" Type="http://schemas.openxmlformats.org/officeDocument/2006/relationships/hyperlink" Target="http://www.abgs.gov.tr/index.php?p=69&amp;l=1" TargetMode="External"/><Relationship Id="rId19" Type="http://schemas.openxmlformats.org/officeDocument/2006/relationships/hyperlink" Target="http://www.abgs.gov.tr/index.php?p=78&amp;l=1" TargetMode="External"/><Relationship Id="rId31" Type="http://schemas.openxmlformats.org/officeDocument/2006/relationships/hyperlink" Target="http://www.abgs.gov.tr/index.php?p=90&amp;l=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gs.gov.tr/index.php?p=68&amp;l=1" TargetMode="External"/><Relationship Id="rId14" Type="http://schemas.openxmlformats.org/officeDocument/2006/relationships/hyperlink" Target="http://www.abgs.gov.tr/index.php?p=73&amp;l=1" TargetMode="External"/><Relationship Id="rId22" Type="http://schemas.openxmlformats.org/officeDocument/2006/relationships/hyperlink" Target="http://www.abgs.gov.tr/index.php?p=81&amp;l=1" TargetMode="External"/><Relationship Id="rId27" Type="http://schemas.openxmlformats.org/officeDocument/2006/relationships/hyperlink" Target="http://www.abgs.gov.tr/index.php?p=86&amp;l=1" TargetMode="External"/><Relationship Id="rId30" Type="http://schemas.openxmlformats.org/officeDocument/2006/relationships/hyperlink" Target="http://www.abgs.gov.tr/index.php?p=89&amp;l=1" TargetMode="External"/><Relationship Id="rId35" Type="http://schemas.openxmlformats.org/officeDocument/2006/relationships/hyperlink" Target="http://www.abgs.gov.tr/index.php?p=94&amp;l=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27</Pages>
  <Words>13560</Words>
  <Characters>-32766</Characters>
  <Application>Microsoft Office Outlook</Application>
  <DocSecurity>0</DocSecurity>
  <Lines>0</Lines>
  <Paragraphs>0</Paragraphs>
  <ScaleCrop>false</ScaleCrop>
  <Company>Disisleri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AVRUPA BİRLİĞİ NEZDİNDE</dc:title>
  <dc:subject/>
  <dc:creator>Levent Tuncezen</dc:creator>
  <cp:keywords/>
  <dc:description/>
  <cp:lastModifiedBy>dtm</cp:lastModifiedBy>
  <cp:revision>8</cp:revision>
  <cp:lastPrinted>2012-10-08T14:24:00Z</cp:lastPrinted>
  <dcterms:created xsi:type="dcterms:W3CDTF">2012-10-10T12:43:00Z</dcterms:created>
  <dcterms:modified xsi:type="dcterms:W3CDTF">2012-10-10T13:45:00Z</dcterms:modified>
</cp:coreProperties>
</file>